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3CE7A" w14:textId="77777777" w:rsidR="00654D19" w:rsidRDefault="00654D19"/>
    <w:p w14:paraId="01DECD7F" w14:textId="77777777" w:rsidR="00CA2C9E" w:rsidRPr="00BB239F" w:rsidRDefault="00CA2C9E" w:rsidP="00CA2C9E">
      <w:pPr>
        <w:tabs>
          <w:tab w:val="left" w:pos="-720"/>
        </w:tabs>
        <w:spacing w:line="300" w:lineRule="atLeast"/>
        <w:rPr>
          <w:rFonts w:ascii="Arial" w:hAnsi="Arial" w:cs="Arial"/>
          <w:b/>
          <w:bCs/>
          <w:spacing w:val="-2"/>
        </w:rPr>
      </w:pPr>
      <w:r w:rsidRPr="00BB239F">
        <w:rPr>
          <w:rFonts w:ascii="Arial" w:hAnsi="Arial" w:cs="Arial"/>
          <w:b/>
          <w:bCs/>
          <w:spacing w:val="-2"/>
        </w:rPr>
        <w:t>Table 1</w:t>
      </w:r>
      <w:r>
        <w:rPr>
          <w:rFonts w:ascii="Arial" w:hAnsi="Arial" w:cs="Arial"/>
          <w:b/>
          <w:bCs/>
          <w:spacing w:val="-2"/>
        </w:rPr>
        <w:t>: Number of Households on Universal Credit (UC), by payment status and monthly award amount groups, September 2024 to August 2025, Great Britain</w:t>
      </w:r>
    </w:p>
    <w:p w14:paraId="5B7E3283" w14:textId="77777777" w:rsidR="00CA2C9E" w:rsidRDefault="00CA2C9E" w:rsidP="00CA2C9E">
      <w:pPr>
        <w:tabs>
          <w:tab w:val="left" w:pos="-720"/>
        </w:tabs>
        <w:spacing w:line="300" w:lineRule="atLeast"/>
        <w:jc w:val="both"/>
        <w:rPr>
          <w:b/>
        </w:rPr>
      </w:pPr>
    </w:p>
    <w:tbl>
      <w:tblPr>
        <w:tblW w:w="9639" w:type="dxa"/>
        <w:tblInd w:w="279" w:type="dxa"/>
        <w:tblLayout w:type="fixed"/>
        <w:tblLook w:val="04A0" w:firstRow="1" w:lastRow="0" w:firstColumn="1" w:lastColumn="0" w:noHBand="0" w:noVBand="1"/>
      </w:tblPr>
      <w:tblGrid>
        <w:gridCol w:w="1701"/>
        <w:gridCol w:w="1587"/>
        <w:gridCol w:w="1588"/>
        <w:gridCol w:w="1587"/>
        <w:gridCol w:w="1588"/>
        <w:gridCol w:w="1588"/>
      </w:tblGrid>
      <w:tr w:rsidR="00CA2C9E" w14:paraId="5DF243B7" w14:textId="77777777" w:rsidTr="00781870">
        <w:trPr>
          <w:trHeight w:val="624"/>
        </w:trPr>
        <w:tc>
          <w:tcPr>
            <w:tcW w:w="1701" w:type="dxa"/>
            <w:tcBorders>
              <w:top w:val="single" w:sz="4" w:space="0" w:color="auto"/>
              <w:left w:val="single" w:sz="4" w:space="0" w:color="auto"/>
              <w:bottom w:val="single" w:sz="4" w:space="0" w:color="auto"/>
              <w:right w:val="single" w:sz="4" w:space="0" w:color="auto"/>
            </w:tcBorders>
            <w:vAlign w:val="center"/>
            <w:hideMark/>
          </w:tcPr>
          <w:p w14:paraId="1364C055"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Month</w:t>
            </w:r>
          </w:p>
        </w:tc>
        <w:tc>
          <w:tcPr>
            <w:tcW w:w="1587" w:type="dxa"/>
            <w:tcBorders>
              <w:top w:val="single" w:sz="4" w:space="0" w:color="auto"/>
              <w:left w:val="nil"/>
              <w:bottom w:val="single" w:sz="4" w:space="0" w:color="auto"/>
              <w:right w:val="single" w:sz="4" w:space="0" w:color="auto"/>
            </w:tcBorders>
            <w:vAlign w:val="center"/>
            <w:hideMark/>
          </w:tcPr>
          <w:p w14:paraId="1B334736" w14:textId="77777777" w:rsidR="00CA2C9E" w:rsidRPr="00186209" w:rsidRDefault="00CA2C9E" w:rsidP="00781870">
            <w:pPr>
              <w:overflowPunct/>
              <w:autoSpaceDN/>
              <w:spacing w:line="300" w:lineRule="atLeast"/>
              <w:jc w:val="center"/>
              <w:textAlignment w:val="auto"/>
              <w:rPr>
                <w:rFonts w:ascii="Arial" w:hAnsi="Arial" w:cs="Arial"/>
                <w:b/>
                <w:bCs/>
                <w:kern w:val="0"/>
              </w:rPr>
            </w:pPr>
            <w:r w:rsidRPr="00186209">
              <w:rPr>
                <w:rFonts w:ascii="Arial" w:hAnsi="Arial" w:cs="Arial"/>
                <w:b/>
                <w:bCs/>
                <w:kern w:val="0"/>
              </w:rPr>
              <w:t>Not in payment</w:t>
            </w:r>
          </w:p>
        </w:tc>
        <w:tc>
          <w:tcPr>
            <w:tcW w:w="1588" w:type="dxa"/>
            <w:tcBorders>
              <w:top w:val="single" w:sz="4" w:space="0" w:color="auto"/>
              <w:left w:val="nil"/>
              <w:bottom w:val="single" w:sz="4" w:space="0" w:color="auto"/>
              <w:right w:val="single" w:sz="4" w:space="0" w:color="auto"/>
            </w:tcBorders>
            <w:vAlign w:val="center"/>
            <w:hideMark/>
          </w:tcPr>
          <w:p w14:paraId="193F9D4A" w14:textId="77777777" w:rsidR="00CA2C9E" w:rsidRPr="00186209" w:rsidRDefault="00CA2C9E" w:rsidP="00781870">
            <w:pPr>
              <w:overflowPunct/>
              <w:autoSpaceDN/>
              <w:spacing w:line="300" w:lineRule="atLeast"/>
              <w:jc w:val="center"/>
              <w:textAlignment w:val="auto"/>
              <w:rPr>
                <w:rFonts w:ascii="Arial" w:hAnsi="Arial" w:cs="Arial"/>
                <w:b/>
                <w:bCs/>
                <w:kern w:val="0"/>
              </w:rPr>
            </w:pPr>
            <w:r>
              <w:rPr>
                <w:rFonts w:ascii="Arial" w:hAnsi="Arial" w:cs="Arial"/>
                <w:b/>
                <w:bCs/>
                <w:kern w:val="0"/>
              </w:rPr>
              <w:t>Above £0 to l</w:t>
            </w:r>
            <w:r w:rsidRPr="00186209">
              <w:rPr>
                <w:rFonts w:ascii="Arial" w:hAnsi="Arial" w:cs="Arial"/>
                <w:b/>
                <w:bCs/>
                <w:kern w:val="0"/>
              </w:rPr>
              <w:t>ess than £50</w:t>
            </w:r>
          </w:p>
        </w:tc>
        <w:tc>
          <w:tcPr>
            <w:tcW w:w="1587" w:type="dxa"/>
            <w:tcBorders>
              <w:top w:val="single" w:sz="4" w:space="0" w:color="auto"/>
              <w:left w:val="nil"/>
              <w:bottom w:val="single" w:sz="4" w:space="0" w:color="auto"/>
              <w:right w:val="single" w:sz="4" w:space="0" w:color="auto"/>
            </w:tcBorders>
            <w:vAlign w:val="center"/>
            <w:hideMark/>
          </w:tcPr>
          <w:p w14:paraId="3881DBFA" w14:textId="77777777" w:rsidR="00CA2C9E" w:rsidRPr="00186209" w:rsidRDefault="00CA2C9E" w:rsidP="00781870">
            <w:pPr>
              <w:overflowPunct/>
              <w:autoSpaceDN/>
              <w:spacing w:line="300" w:lineRule="atLeast"/>
              <w:jc w:val="center"/>
              <w:textAlignment w:val="auto"/>
              <w:rPr>
                <w:rFonts w:ascii="Arial" w:hAnsi="Arial" w:cs="Arial"/>
                <w:b/>
                <w:bCs/>
                <w:kern w:val="0"/>
              </w:rPr>
            </w:pPr>
            <w:r w:rsidRPr="00186209">
              <w:rPr>
                <w:rFonts w:ascii="Arial" w:hAnsi="Arial" w:cs="Arial"/>
                <w:b/>
                <w:bCs/>
                <w:kern w:val="0"/>
              </w:rPr>
              <w:t>£50 to less than £100</w:t>
            </w:r>
          </w:p>
        </w:tc>
        <w:tc>
          <w:tcPr>
            <w:tcW w:w="1588" w:type="dxa"/>
            <w:tcBorders>
              <w:top w:val="single" w:sz="4" w:space="0" w:color="auto"/>
              <w:left w:val="nil"/>
              <w:bottom w:val="single" w:sz="4" w:space="0" w:color="auto"/>
              <w:right w:val="single" w:sz="4" w:space="0" w:color="auto"/>
            </w:tcBorders>
            <w:vAlign w:val="center"/>
            <w:hideMark/>
          </w:tcPr>
          <w:p w14:paraId="68E0D338" w14:textId="77777777" w:rsidR="00CA2C9E" w:rsidRPr="00186209" w:rsidRDefault="00CA2C9E" w:rsidP="00781870">
            <w:pPr>
              <w:overflowPunct/>
              <w:autoSpaceDN/>
              <w:spacing w:line="300" w:lineRule="atLeast"/>
              <w:jc w:val="center"/>
              <w:textAlignment w:val="auto"/>
              <w:rPr>
                <w:rFonts w:ascii="Arial" w:hAnsi="Arial" w:cs="Arial"/>
                <w:b/>
                <w:bCs/>
                <w:kern w:val="0"/>
              </w:rPr>
            </w:pPr>
            <w:r w:rsidRPr="00186209">
              <w:rPr>
                <w:rFonts w:ascii="Arial" w:hAnsi="Arial" w:cs="Arial"/>
                <w:b/>
                <w:bCs/>
                <w:kern w:val="0"/>
              </w:rPr>
              <w:t>£100 or more</w:t>
            </w:r>
          </w:p>
        </w:tc>
        <w:tc>
          <w:tcPr>
            <w:tcW w:w="1588" w:type="dxa"/>
            <w:tcBorders>
              <w:top w:val="single" w:sz="4" w:space="0" w:color="auto"/>
              <w:left w:val="nil"/>
              <w:bottom w:val="single" w:sz="4" w:space="0" w:color="auto"/>
              <w:right w:val="single" w:sz="4" w:space="0" w:color="auto"/>
            </w:tcBorders>
            <w:vAlign w:val="center"/>
            <w:hideMark/>
          </w:tcPr>
          <w:p w14:paraId="1413FD8A" w14:textId="77777777" w:rsidR="00CA2C9E" w:rsidRPr="00186209" w:rsidRDefault="00CA2C9E" w:rsidP="00781870">
            <w:pPr>
              <w:overflowPunct/>
              <w:autoSpaceDN/>
              <w:spacing w:line="300" w:lineRule="atLeast"/>
              <w:jc w:val="center"/>
              <w:textAlignment w:val="auto"/>
              <w:rPr>
                <w:rFonts w:ascii="Arial" w:hAnsi="Arial" w:cs="Arial"/>
                <w:b/>
                <w:bCs/>
                <w:kern w:val="0"/>
              </w:rPr>
            </w:pPr>
            <w:r w:rsidRPr="00186209">
              <w:rPr>
                <w:rFonts w:ascii="Arial" w:hAnsi="Arial" w:cs="Arial"/>
                <w:b/>
                <w:bCs/>
                <w:kern w:val="0"/>
              </w:rPr>
              <w:t>Total</w:t>
            </w:r>
          </w:p>
        </w:tc>
      </w:tr>
      <w:tr w:rsidR="00CA2C9E" w14:paraId="24344B47" w14:textId="77777777" w:rsidTr="00781870">
        <w:trPr>
          <w:trHeight w:val="370"/>
        </w:trPr>
        <w:tc>
          <w:tcPr>
            <w:tcW w:w="1701" w:type="dxa"/>
            <w:tcBorders>
              <w:top w:val="nil"/>
              <w:left w:val="single" w:sz="4" w:space="0" w:color="auto"/>
              <w:bottom w:val="single" w:sz="4" w:space="0" w:color="auto"/>
              <w:right w:val="single" w:sz="4" w:space="0" w:color="auto"/>
            </w:tcBorders>
            <w:vAlign w:val="bottom"/>
            <w:hideMark/>
          </w:tcPr>
          <w:p w14:paraId="321CA03E"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Sep 2024 (r)</w:t>
            </w:r>
          </w:p>
        </w:tc>
        <w:tc>
          <w:tcPr>
            <w:tcW w:w="1587" w:type="dxa"/>
            <w:tcBorders>
              <w:top w:val="nil"/>
              <w:left w:val="nil"/>
              <w:bottom w:val="single" w:sz="4" w:space="0" w:color="auto"/>
              <w:right w:val="single" w:sz="4" w:space="0" w:color="auto"/>
            </w:tcBorders>
            <w:shd w:val="clear" w:color="000000" w:fill="FBFBFB"/>
            <w:noWrap/>
            <w:vAlign w:val="center"/>
            <w:hideMark/>
          </w:tcPr>
          <w:p w14:paraId="0F3C3F6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552,999 </w:t>
            </w:r>
          </w:p>
        </w:tc>
        <w:tc>
          <w:tcPr>
            <w:tcW w:w="1588" w:type="dxa"/>
            <w:tcBorders>
              <w:top w:val="nil"/>
              <w:left w:val="nil"/>
              <w:bottom w:val="single" w:sz="4" w:space="0" w:color="auto"/>
              <w:right w:val="single" w:sz="4" w:space="0" w:color="auto"/>
            </w:tcBorders>
            <w:shd w:val="clear" w:color="000000" w:fill="FBFBFB"/>
            <w:noWrap/>
            <w:vAlign w:val="center"/>
            <w:hideMark/>
          </w:tcPr>
          <w:p w14:paraId="1559BDFF"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75,879 </w:t>
            </w:r>
          </w:p>
        </w:tc>
        <w:tc>
          <w:tcPr>
            <w:tcW w:w="1587" w:type="dxa"/>
            <w:tcBorders>
              <w:top w:val="nil"/>
              <w:left w:val="nil"/>
              <w:bottom w:val="single" w:sz="4" w:space="0" w:color="auto"/>
              <w:right w:val="single" w:sz="4" w:space="0" w:color="auto"/>
            </w:tcBorders>
            <w:shd w:val="clear" w:color="000000" w:fill="FBFBFB"/>
            <w:noWrap/>
            <w:vAlign w:val="center"/>
            <w:hideMark/>
          </w:tcPr>
          <w:p w14:paraId="2EDA961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63,449 </w:t>
            </w:r>
          </w:p>
        </w:tc>
        <w:tc>
          <w:tcPr>
            <w:tcW w:w="1588" w:type="dxa"/>
            <w:tcBorders>
              <w:top w:val="nil"/>
              <w:left w:val="nil"/>
              <w:bottom w:val="single" w:sz="4" w:space="0" w:color="auto"/>
              <w:right w:val="single" w:sz="4" w:space="0" w:color="auto"/>
            </w:tcBorders>
            <w:shd w:val="clear" w:color="000000" w:fill="FBFBFB"/>
            <w:noWrap/>
            <w:vAlign w:val="center"/>
            <w:hideMark/>
          </w:tcPr>
          <w:p w14:paraId="12BD8C0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5,339,689 </w:t>
            </w:r>
          </w:p>
        </w:tc>
        <w:tc>
          <w:tcPr>
            <w:tcW w:w="1588" w:type="dxa"/>
            <w:tcBorders>
              <w:top w:val="nil"/>
              <w:left w:val="nil"/>
              <w:bottom w:val="single" w:sz="4" w:space="0" w:color="auto"/>
              <w:right w:val="single" w:sz="4" w:space="0" w:color="auto"/>
            </w:tcBorders>
            <w:shd w:val="clear" w:color="000000" w:fill="FBFBFB"/>
            <w:noWrap/>
            <w:vAlign w:val="center"/>
            <w:hideMark/>
          </w:tcPr>
          <w:p w14:paraId="0CB2034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6,032,017 </w:t>
            </w:r>
          </w:p>
        </w:tc>
      </w:tr>
      <w:tr w:rsidR="00CA2C9E" w14:paraId="4578612E"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0538BB23"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Oct 2024 (r)</w:t>
            </w:r>
          </w:p>
        </w:tc>
        <w:tc>
          <w:tcPr>
            <w:tcW w:w="1587" w:type="dxa"/>
            <w:tcBorders>
              <w:top w:val="nil"/>
              <w:left w:val="nil"/>
              <w:bottom w:val="single" w:sz="4" w:space="0" w:color="auto"/>
              <w:right w:val="single" w:sz="4" w:space="0" w:color="auto"/>
            </w:tcBorders>
            <w:shd w:val="clear" w:color="000000" w:fill="FBFBFB"/>
            <w:noWrap/>
            <w:vAlign w:val="center"/>
            <w:hideMark/>
          </w:tcPr>
          <w:p w14:paraId="6C6FE71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546,734 </w:t>
            </w:r>
          </w:p>
        </w:tc>
        <w:tc>
          <w:tcPr>
            <w:tcW w:w="1588" w:type="dxa"/>
            <w:tcBorders>
              <w:top w:val="nil"/>
              <w:left w:val="nil"/>
              <w:bottom w:val="single" w:sz="4" w:space="0" w:color="auto"/>
              <w:right w:val="single" w:sz="4" w:space="0" w:color="auto"/>
            </w:tcBorders>
            <w:shd w:val="clear" w:color="000000" w:fill="FBFBFB"/>
            <w:noWrap/>
            <w:vAlign w:val="center"/>
            <w:hideMark/>
          </w:tcPr>
          <w:p w14:paraId="1C01FC42"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88,085 </w:t>
            </w:r>
          </w:p>
        </w:tc>
        <w:tc>
          <w:tcPr>
            <w:tcW w:w="1587" w:type="dxa"/>
            <w:tcBorders>
              <w:top w:val="nil"/>
              <w:left w:val="nil"/>
              <w:bottom w:val="single" w:sz="4" w:space="0" w:color="auto"/>
              <w:right w:val="single" w:sz="4" w:space="0" w:color="auto"/>
            </w:tcBorders>
            <w:shd w:val="clear" w:color="000000" w:fill="FBFBFB"/>
            <w:noWrap/>
            <w:vAlign w:val="center"/>
            <w:hideMark/>
          </w:tcPr>
          <w:p w14:paraId="133736C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64,241 </w:t>
            </w:r>
          </w:p>
        </w:tc>
        <w:tc>
          <w:tcPr>
            <w:tcW w:w="1588" w:type="dxa"/>
            <w:tcBorders>
              <w:top w:val="nil"/>
              <w:left w:val="nil"/>
              <w:bottom w:val="single" w:sz="4" w:space="0" w:color="auto"/>
              <w:right w:val="single" w:sz="4" w:space="0" w:color="auto"/>
            </w:tcBorders>
            <w:shd w:val="clear" w:color="000000" w:fill="FBFBFB"/>
            <w:noWrap/>
            <w:vAlign w:val="center"/>
            <w:hideMark/>
          </w:tcPr>
          <w:p w14:paraId="483D8972"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5,388,597 </w:t>
            </w:r>
          </w:p>
        </w:tc>
        <w:tc>
          <w:tcPr>
            <w:tcW w:w="1588" w:type="dxa"/>
            <w:tcBorders>
              <w:top w:val="nil"/>
              <w:left w:val="nil"/>
              <w:bottom w:val="single" w:sz="4" w:space="0" w:color="auto"/>
              <w:right w:val="single" w:sz="4" w:space="0" w:color="auto"/>
            </w:tcBorders>
            <w:shd w:val="clear" w:color="000000" w:fill="FBFBFB"/>
            <w:noWrap/>
            <w:vAlign w:val="center"/>
            <w:hideMark/>
          </w:tcPr>
          <w:p w14:paraId="7BCEBEBD"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6,087,655 </w:t>
            </w:r>
          </w:p>
        </w:tc>
      </w:tr>
      <w:tr w:rsidR="00CA2C9E" w14:paraId="05B4052F"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3634F9C1"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Nov 2024 (r)</w:t>
            </w:r>
          </w:p>
        </w:tc>
        <w:tc>
          <w:tcPr>
            <w:tcW w:w="1587" w:type="dxa"/>
            <w:tcBorders>
              <w:top w:val="nil"/>
              <w:left w:val="nil"/>
              <w:bottom w:val="single" w:sz="4" w:space="0" w:color="auto"/>
              <w:right w:val="single" w:sz="4" w:space="0" w:color="auto"/>
            </w:tcBorders>
            <w:shd w:val="clear" w:color="000000" w:fill="FBFBFB"/>
            <w:noWrap/>
            <w:vAlign w:val="center"/>
            <w:hideMark/>
          </w:tcPr>
          <w:p w14:paraId="295E2500"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573,750 </w:t>
            </w:r>
          </w:p>
        </w:tc>
        <w:tc>
          <w:tcPr>
            <w:tcW w:w="1588" w:type="dxa"/>
            <w:tcBorders>
              <w:top w:val="nil"/>
              <w:left w:val="nil"/>
              <w:bottom w:val="single" w:sz="4" w:space="0" w:color="auto"/>
              <w:right w:val="single" w:sz="4" w:space="0" w:color="auto"/>
            </w:tcBorders>
            <w:shd w:val="clear" w:color="000000" w:fill="FBFBFB"/>
            <w:noWrap/>
            <w:vAlign w:val="center"/>
            <w:hideMark/>
          </w:tcPr>
          <w:p w14:paraId="1BBE3A3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80,926 </w:t>
            </w:r>
          </w:p>
        </w:tc>
        <w:tc>
          <w:tcPr>
            <w:tcW w:w="1587" w:type="dxa"/>
            <w:tcBorders>
              <w:top w:val="nil"/>
              <w:left w:val="nil"/>
              <w:bottom w:val="single" w:sz="4" w:space="0" w:color="auto"/>
              <w:right w:val="single" w:sz="4" w:space="0" w:color="auto"/>
            </w:tcBorders>
            <w:shd w:val="clear" w:color="000000" w:fill="FBFBFB"/>
            <w:noWrap/>
            <w:vAlign w:val="center"/>
            <w:hideMark/>
          </w:tcPr>
          <w:p w14:paraId="6BCBC87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65,915 </w:t>
            </w:r>
          </w:p>
        </w:tc>
        <w:tc>
          <w:tcPr>
            <w:tcW w:w="1588" w:type="dxa"/>
            <w:tcBorders>
              <w:top w:val="nil"/>
              <w:left w:val="nil"/>
              <w:bottom w:val="single" w:sz="4" w:space="0" w:color="auto"/>
              <w:right w:val="single" w:sz="4" w:space="0" w:color="auto"/>
            </w:tcBorders>
            <w:shd w:val="clear" w:color="000000" w:fill="FBFBFB"/>
            <w:noWrap/>
            <w:vAlign w:val="center"/>
            <w:hideMark/>
          </w:tcPr>
          <w:p w14:paraId="03D736F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5,445,357 </w:t>
            </w:r>
          </w:p>
        </w:tc>
        <w:tc>
          <w:tcPr>
            <w:tcW w:w="1588" w:type="dxa"/>
            <w:tcBorders>
              <w:top w:val="nil"/>
              <w:left w:val="nil"/>
              <w:bottom w:val="single" w:sz="4" w:space="0" w:color="auto"/>
              <w:right w:val="single" w:sz="4" w:space="0" w:color="auto"/>
            </w:tcBorders>
            <w:shd w:val="clear" w:color="000000" w:fill="FBFBFB"/>
            <w:noWrap/>
            <w:vAlign w:val="center"/>
            <w:hideMark/>
          </w:tcPr>
          <w:p w14:paraId="72641CD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6,165,953 </w:t>
            </w:r>
          </w:p>
        </w:tc>
      </w:tr>
      <w:tr w:rsidR="00CA2C9E" w14:paraId="684F4530"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663786DB"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Dec 2024 (r)</w:t>
            </w:r>
          </w:p>
        </w:tc>
        <w:tc>
          <w:tcPr>
            <w:tcW w:w="1587" w:type="dxa"/>
            <w:tcBorders>
              <w:top w:val="nil"/>
              <w:left w:val="nil"/>
              <w:bottom w:val="single" w:sz="4" w:space="0" w:color="auto"/>
              <w:right w:val="single" w:sz="4" w:space="0" w:color="auto"/>
            </w:tcBorders>
            <w:shd w:val="clear" w:color="000000" w:fill="FBFBFB"/>
            <w:noWrap/>
            <w:vAlign w:val="center"/>
            <w:hideMark/>
          </w:tcPr>
          <w:p w14:paraId="7B3D74E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573,791 </w:t>
            </w:r>
          </w:p>
        </w:tc>
        <w:tc>
          <w:tcPr>
            <w:tcW w:w="1588" w:type="dxa"/>
            <w:tcBorders>
              <w:top w:val="nil"/>
              <w:left w:val="nil"/>
              <w:bottom w:val="single" w:sz="4" w:space="0" w:color="auto"/>
              <w:right w:val="single" w:sz="4" w:space="0" w:color="auto"/>
            </w:tcBorders>
            <w:shd w:val="clear" w:color="000000" w:fill="FBFBFB"/>
            <w:noWrap/>
            <w:vAlign w:val="center"/>
            <w:hideMark/>
          </w:tcPr>
          <w:p w14:paraId="7FBA6043"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82,072 </w:t>
            </w:r>
          </w:p>
        </w:tc>
        <w:tc>
          <w:tcPr>
            <w:tcW w:w="1587" w:type="dxa"/>
            <w:tcBorders>
              <w:top w:val="nil"/>
              <w:left w:val="nil"/>
              <w:bottom w:val="single" w:sz="4" w:space="0" w:color="auto"/>
              <w:right w:val="single" w:sz="4" w:space="0" w:color="auto"/>
            </w:tcBorders>
            <w:shd w:val="clear" w:color="000000" w:fill="FBFBFB"/>
            <w:noWrap/>
            <w:vAlign w:val="center"/>
            <w:hideMark/>
          </w:tcPr>
          <w:p w14:paraId="2C0BD9E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64,674 </w:t>
            </w:r>
          </w:p>
        </w:tc>
        <w:tc>
          <w:tcPr>
            <w:tcW w:w="1588" w:type="dxa"/>
            <w:tcBorders>
              <w:top w:val="nil"/>
              <w:left w:val="nil"/>
              <w:bottom w:val="single" w:sz="4" w:space="0" w:color="auto"/>
              <w:right w:val="single" w:sz="4" w:space="0" w:color="auto"/>
            </w:tcBorders>
            <w:shd w:val="clear" w:color="000000" w:fill="FBFBFB"/>
            <w:noWrap/>
            <w:vAlign w:val="center"/>
            <w:hideMark/>
          </w:tcPr>
          <w:p w14:paraId="5DB384F4"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5,507,872 </w:t>
            </w:r>
          </w:p>
        </w:tc>
        <w:tc>
          <w:tcPr>
            <w:tcW w:w="1588" w:type="dxa"/>
            <w:tcBorders>
              <w:top w:val="nil"/>
              <w:left w:val="nil"/>
              <w:bottom w:val="single" w:sz="4" w:space="0" w:color="auto"/>
              <w:right w:val="single" w:sz="4" w:space="0" w:color="auto"/>
            </w:tcBorders>
            <w:shd w:val="clear" w:color="000000" w:fill="FBFBFB"/>
            <w:noWrap/>
            <w:vAlign w:val="center"/>
            <w:hideMark/>
          </w:tcPr>
          <w:p w14:paraId="4B005F27"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6,228,410 </w:t>
            </w:r>
          </w:p>
        </w:tc>
      </w:tr>
      <w:tr w:rsidR="00CA2C9E" w14:paraId="02050BF7"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441E4377"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Jan 2025 (r)</w:t>
            </w:r>
          </w:p>
        </w:tc>
        <w:tc>
          <w:tcPr>
            <w:tcW w:w="1587" w:type="dxa"/>
            <w:tcBorders>
              <w:top w:val="nil"/>
              <w:left w:val="nil"/>
              <w:bottom w:val="single" w:sz="4" w:space="0" w:color="auto"/>
              <w:right w:val="single" w:sz="4" w:space="0" w:color="auto"/>
            </w:tcBorders>
            <w:shd w:val="clear" w:color="000000" w:fill="FBFBFB"/>
            <w:noWrap/>
            <w:vAlign w:val="center"/>
            <w:hideMark/>
          </w:tcPr>
          <w:p w14:paraId="580EFDD4"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555,102 </w:t>
            </w:r>
          </w:p>
        </w:tc>
        <w:tc>
          <w:tcPr>
            <w:tcW w:w="1588" w:type="dxa"/>
            <w:tcBorders>
              <w:top w:val="nil"/>
              <w:left w:val="nil"/>
              <w:bottom w:val="single" w:sz="4" w:space="0" w:color="auto"/>
              <w:right w:val="single" w:sz="4" w:space="0" w:color="auto"/>
            </w:tcBorders>
            <w:shd w:val="clear" w:color="000000" w:fill="FBFBFB"/>
            <w:noWrap/>
            <w:vAlign w:val="center"/>
            <w:hideMark/>
          </w:tcPr>
          <w:p w14:paraId="522C8070"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56,747 </w:t>
            </w:r>
          </w:p>
        </w:tc>
        <w:tc>
          <w:tcPr>
            <w:tcW w:w="1587" w:type="dxa"/>
            <w:tcBorders>
              <w:top w:val="nil"/>
              <w:left w:val="nil"/>
              <w:bottom w:val="single" w:sz="4" w:space="0" w:color="auto"/>
              <w:right w:val="single" w:sz="4" w:space="0" w:color="auto"/>
            </w:tcBorders>
            <w:shd w:val="clear" w:color="000000" w:fill="FBFBFB"/>
            <w:noWrap/>
            <w:vAlign w:val="center"/>
            <w:hideMark/>
          </w:tcPr>
          <w:p w14:paraId="10481B0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64,383 </w:t>
            </w:r>
          </w:p>
        </w:tc>
        <w:tc>
          <w:tcPr>
            <w:tcW w:w="1588" w:type="dxa"/>
            <w:tcBorders>
              <w:top w:val="nil"/>
              <w:left w:val="nil"/>
              <w:bottom w:val="single" w:sz="4" w:space="0" w:color="auto"/>
              <w:right w:val="single" w:sz="4" w:space="0" w:color="auto"/>
            </w:tcBorders>
            <w:shd w:val="clear" w:color="000000" w:fill="FBFBFB"/>
            <w:noWrap/>
            <w:vAlign w:val="center"/>
            <w:hideMark/>
          </w:tcPr>
          <w:p w14:paraId="3941F3A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5,601,349 </w:t>
            </w:r>
          </w:p>
        </w:tc>
        <w:tc>
          <w:tcPr>
            <w:tcW w:w="1588" w:type="dxa"/>
            <w:tcBorders>
              <w:top w:val="nil"/>
              <w:left w:val="nil"/>
              <w:bottom w:val="single" w:sz="4" w:space="0" w:color="auto"/>
              <w:right w:val="single" w:sz="4" w:space="0" w:color="auto"/>
            </w:tcBorders>
            <w:shd w:val="clear" w:color="000000" w:fill="FBFBFB"/>
            <w:noWrap/>
            <w:vAlign w:val="center"/>
            <w:hideMark/>
          </w:tcPr>
          <w:p w14:paraId="322CF6CE"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6,277,575 </w:t>
            </w:r>
          </w:p>
        </w:tc>
      </w:tr>
      <w:tr w:rsidR="00CA2C9E" w14:paraId="26FB1AE1"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16A8AF04"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Feb 2025 (r)</w:t>
            </w:r>
          </w:p>
        </w:tc>
        <w:tc>
          <w:tcPr>
            <w:tcW w:w="1587" w:type="dxa"/>
            <w:tcBorders>
              <w:top w:val="nil"/>
              <w:left w:val="nil"/>
              <w:bottom w:val="single" w:sz="4" w:space="0" w:color="auto"/>
              <w:right w:val="single" w:sz="4" w:space="0" w:color="auto"/>
            </w:tcBorders>
            <w:shd w:val="clear" w:color="000000" w:fill="FBFBFB"/>
            <w:noWrap/>
            <w:vAlign w:val="center"/>
            <w:hideMark/>
          </w:tcPr>
          <w:p w14:paraId="604EED57"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494,429 </w:t>
            </w:r>
          </w:p>
        </w:tc>
        <w:tc>
          <w:tcPr>
            <w:tcW w:w="1588" w:type="dxa"/>
            <w:tcBorders>
              <w:top w:val="nil"/>
              <w:left w:val="nil"/>
              <w:bottom w:val="single" w:sz="4" w:space="0" w:color="auto"/>
              <w:right w:val="single" w:sz="4" w:space="0" w:color="auto"/>
            </w:tcBorders>
            <w:shd w:val="clear" w:color="000000" w:fill="FBFBFB"/>
            <w:noWrap/>
            <w:vAlign w:val="center"/>
            <w:hideMark/>
          </w:tcPr>
          <w:p w14:paraId="4EF41EF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80,321 </w:t>
            </w:r>
          </w:p>
        </w:tc>
        <w:tc>
          <w:tcPr>
            <w:tcW w:w="1587" w:type="dxa"/>
            <w:tcBorders>
              <w:top w:val="nil"/>
              <w:left w:val="nil"/>
              <w:bottom w:val="single" w:sz="4" w:space="0" w:color="auto"/>
              <w:right w:val="single" w:sz="4" w:space="0" w:color="auto"/>
            </w:tcBorders>
            <w:shd w:val="clear" w:color="000000" w:fill="FBFBFB"/>
            <w:noWrap/>
            <w:vAlign w:val="center"/>
            <w:hideMark/>
          </w:tcPr>
          <w:p w14:paraId="06559778"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63,855 </w:t>
            </w:r>
          </w:p>
        </w:tc>
        <w:tc>
          <w:tcPr>
            <w:tcW w:w="1588" w:type="dxa"/>
            <w:tcBorders>
              <w:top w:val="nil"/>
              <w:left w:val="nil"/>
              <w:bottom w:val="single" w:sz="4" w:space="0" w:color="auto"/>
              <w:right w:val="single" w:sz="4" w:space="0" w:color="auto"/>
            </w:tcBorders>
            <w:shd w:val="clear" w:color="000000" w:fill="FBFBFB"/>
            <w:noWrap/>
            <w:vAlign w:val="center"/>
            <w:hideMark/>
          </w:tcPr>
          <w:p w14:paraId="1CA09BF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5,748,604 </w:t>
            </w:r>
          </w:p>
        </w:tc>
        <w:tc>
          <w:tcPr>
            <w:tcW w:w="1588" w:type="dxa"/>
            <w:tcBorders>
              <w:top w:val="nil"/>
              <w:left w:val="nil"/>
              <w:bottom w:val="single" w:sz="4" w:space="0" w:color="auto"/>
              <w:right w:val="single" w:sz="4" w:space="0" w:color="auto"/>
            </w:tcBorders>
            <w:shd w:val="clear" w:color="000000" w:fill="FBFBFB"/>
            <w:noWrap/>
            <w:vAlign w:val="center"/>
            <w:hideMark/>
          </w:tcPr>
          <w:p w14:paraId="588CA74D"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6,387,207 </w:t>
            </w:r>
          </w:p>
        </w:tc>
      </w:tr>
      <w:tr w:rsidR="00CA2C9E" w14:paraId="72F65516"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0A42DE6B"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Mar 2025 (r)</w:t>
            </w:r>
          </w:p>
        </w:tc>
        <w:tc>
          <w:tcPr>
            <w:tcW w:w="1587" w:type="dxa"/>
            <w:tcBorders>
              <w:top w:val="nil"/>
              <w:left w:val="nil"/>
              <w:bottom w:val="single" w:sz="4" w:space="0" w:color="auto"/>
              <w:right w:val="single" w:sz="4" w:space="0" w:color="auto"/>
            </w:tcBorders>
            <w:shd w:val="clear" w:color="000000" w:fill="FBFBFB"/>
            <w:noWrap/>
            <w:vAlign w:val="center"/>
            <w:hideMark/>
          </w:tcPr>
          <w:p w14:paraId="425B569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503,503 </w:t>
            </w:r>
          </w:p>
        </w:tc>
        <w:tc>
          <w:tcPr>
            <w:tcW w:w="1588" w:type="dxa"/>
            <w:tcBorders>
              <w:top w:val="nil"/>
              <w:left w:val="nil"/>
              <w:bottom w:val="single" w:sz="4" w:space="0" w:color="auto"/>
              <w:right w:val="single" w:sz="4" w:space="0" w:color="auto"/>
            </w:tcBorders>
            <w:shd w:val="clear" w:color="000000" w:fill="FBFBFB"/>
            <w:noWrap/>
            <w:vAlign w:val="center"/>
            <w:hideMark/>
          </w:tcPr>
          <w:p w14:paraId="4515764F"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80,272 </w:t>
            </w:r>
          </w:p>
        </w:tc>
        <w:tc>
          <w:tcPr>
            <w:tcW w:w="1587" w:type="dxa"/>
            <w:tcBorders>
              <w:top w:val="nil"/>
              <w:left w:val="nil"/>
              <w:bottom w:val="single" w:sz="4" w:space="0" w:color="auto"/>
              <w:right w:val="single" w:sz="4" w:space="0" w:color="auto"/>
            </w:tcBorders>
            <w:shd w:val="clear" w:color="000000" w:fill="FBFBFB"/>
            <w:noWrap/>
            <w:vAlign w:val="center"/>
            <w:hideMark/>
          </w:tcPr>
          <w:p w14:paraId="636888E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65,250 </w:t>
            </w:r>
          </w:p>
        </w:tc>
        <w:tc>
          <w:tcPr>
            <w:tcW w:w="1588" w:type="dxa"/>
            <w:tcBorders>
              <w:top w:val="nil"/>
              <w:left w:val="nil"/>
              <w:bottom w:val="single" w:sz="4" w:space="0" w:color="auto"/>
              <w:right w:val="single" w:sz="4" w:space="0" w:color="auto"/>
            </w:tcBorders>
            <w:shd w:val="clear" w:color="000000" w:fill="FBFBFB"/>
            <w:noWrap/>
            <w:vAlign w:val="center"/>
            <w:hideMark/>
          </w:tcPr>
          <w:p w14:paraId="3C597F81"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5,796,791 </w:t>
            </w:r>
          </w:p>
        </w:tc>
        <w:tc>
          <w:tcPr>
            <w:tcW w:w="1588" w:type="dxa"/>
            <w:tcBorders>
              <w:top w:val="nil"/>
              <w:left w:val="nil"/>
              <w:bottom w:val="single" w:sz="4" w:space="0" w:color="auto"/>
              <w:right w:val="single" w:sz="4" w:space="0" w:color="auto"/>
            </w:tcBorders>
            <w:shd w:val="clear" w:color="000000" w:fill="FBFBFB"/>
            <w:noWrap/>
            <w:vAlign w:val="center"/>
            <w:hideMark/>
          </w:tcPr>
          <w:p w14:paraId="507D536D"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6,445,813 </w:t>
            </w:r>
          </w:p>
        </w:tc>
      </w:tr>
      <w:tr w:rsidR="00CA2C9E" w14:paraId="34588359"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6F2B1AAF"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Apr 2025 (r)</w:t>
            </w:r>
          </w:p>
        </w:tc>
        <w:tc>
          <w:tcPr>
            <w:tcW w:w="1587" w:type="dxa"/>
            <w:tcBorders>
              <w:top w:val="nil"/>
              <w:left w:val="nil"/>
              <w:bottom w:val="single" w:sz="4" w:space="0" w:color="auto"/>
              <w:right w:val="single" w:sz="4" w:space="0" w:color="auto"/>
            </w:tcBorders>
            <w:shd w:val="clear" w:color="000000" w:fill="FBFBFB"/>
            <w:noWrap/>
            <w:vAlign w:val="center"/>
            <w:hideMark/>
          </w:tcPr>
          <w:p w14:paraId="63ABA8C7"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519,114 </w:t>
            </w:r>
          </w:p>
        </w:tc>
        <w:tc>
          <w:tcPr>
            <w:tcW w:w="1588" w:type="dxa"/>
            <w:tcBorders>
              <w:top w:val="nil"/>
              <w:left w:val="nil"/>
              <w:bottom w:val="single" w:sz="4" w:space="0" w:color="auto"/>
              <w:right w:val="single" w:sz="4" w:space="0" w:color="auto"/>
            </w:tcBorders>
            <w:shd w:val="clear" w:color="000000" w:fill="FBFBFB"/>
            <w:noWrap/>
            <w:vAlign w:val="center"/>
            <w:hideMark/>
          </w:tcPr>
          <w:p w14:paraId="4B76C83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74,073 </w:t>
            </w:r>
          </w:p>
        </w:tc>
        <w:tc>
          <w:tcPr>
            <w:tcW w:w="1587" w:type="dxa"/>
            <w:tcBorders>
              <w:top w:val="nil"/>
              <w:left w:val="nil"/>
              <w:bottom w:val="single" w:sz="4" w:space="0" w:color="auto"/>
              <w:right w:val="single" w:sz="4" w:space="0" w:color="auto"/>
            </w:tcBorders>
            <w:shd w:val="clear" w:color="000000" w:fill="FBFBFB"/>
            <w:noWrap/>
            <w:vAlign w:val="center"/>
            <w:hideMark/>
          </w:tcPr>
          <w:p w14:paraId="26EBAB5E"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64,844 </w:t>
            </w:r>
          </w:p>
        </w:tc>
        <w:tc>
          <w:tcPr>
            <w:tcW w:w="1588" w:type="dxa"/>
            <w:tcBorders>
              <w:top w:val="nil"/>
              <w:left w:val="nil"/>
              <w:bottom w:val="single" w:sz="4" w:space="0" w:color="auto"/>
              <w:right w:val="single" w:sz="4" w:space="0" w:color="auto"/>
            </w:tcBorders>
            <w:shd w:val="clear" w:color="000000" w:fill="FBFBFB"/>
            <w:noWrap/>
            <w:vAlign w:val="center"/>
            <w:hideMark/>
          </w:tcPr>
          <w:p w14:paraId="3A19F044"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5,859,523 </w:t>
            </w:r>
          </w:p>
        </w:tc>
        <w:tc>
          <w:tcPr>
            <w:tcW w:w="1588" w:type="dxa"/>
            <w:tcBorders>
              <w:top w:val="nil"/>
              <w:left w:val="nil"/>
              <w:bottom w:val="single" w:sz="4" w:space="0" w:color="auto"/>
              <w:right w:val="single" w:sz="4" w:space="0" w:color="auto"/>
            </w:tcBorders>
            <w:shd w:val="clear" w:color="000000" w:fill="FBFBFB"/>
            <w:noWrap/>
            <w:vAlign w:val="center"/>
            <w:hideMark/>
          </w:tcPr>
          <w:p w14:paraId="1023469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6,517,549 </w:t>
            </w:r>
          </w:p>
        </w:tc>
      </w:tr>
      <w:tr w:rsidR="00CA2C9E" w14:paraId="4F57635E"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42B3BB68"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May 2025 (r)</w:t>
            </w:r>
          </w:p>
        </w:tc>
        <w:tc>
          <w:tcPr>
            <w:tcW w:w="1587" w:type="dxa"/>
            <w:tcBorders>
              <w:top w:val="nil"/>
              <w:left w:val="nil"/>
              <w:bottom w:val="single" w:sz="4" w:space="0" w:color="auto"/>
              <w:right w:val="single" w:sz="4" w:space="0" w:color="auto"/>
            </w:tcBorders>
            <w:shd w:val="clear" w:color="000000" w:fill="FBFBFB"/>
            <w:noWrap/>
            <w:vAlign w:val="center"/>
            <w:hideMark/>
          </w:tcPr>
          <w:p w14:paraId="042968F7"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487,465 </w:t>
            </w:r>
          </w:p>
        </w:tc>
        <w:tc>
          <w:tcPr>
            <w:tcW w:w="1588" w:type="dxa"/>
            <w:tcBorders>
              <w:top w:val="nil"/>
              <w:left w:val="nil"/>
              <w:bottom w:val="single" w:sz="4" w:space="0" w:color="auto"/>
              <w:right w:val="single" w:sz="4" w:space="0" w:color="auto"/>
            </w:tcBorders>
            <w:shd w:val="clear" w:color="000000" w:fill="FBFBFB"/>
            <w:noWrap/>
            <w:vAlign w:val="center"/>
            <w:hideMark/>
          </w:tcPr>
          <w:p w14:paraId="43AC799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90,220 </w:t>
            </w:r>
          </w:p>
        </w:tc>
        <w:tc>
          <w:tcPr>
            <w:tcW w:w="1587" w:type="dxa"/>
            <w:tcBorders>
              <w:top w:val="nil"/>
              <w:left w:val="nil"/>
              <w:bottom w:val="single" w:sz="4" w:space="0" w:color="auto"/>
              <w:right w:val="single" w:sz="4" w:space="0" w:color="auto"/>
            </w:tcBorders>
            <w:shd w:val="clear" w:color="000000" w:fill="FBFBFB"/>
            <w:noWrap/>
            <w:vAlign w:val="center"/>
            <w:hideMark/>
          </w:tcPr>
          <w:p w14:paraId="4AC14FA0"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62,373 </w:t>
            </w:r>
          </w:p>
        </w:tc>
        <w:tc>
          <w:tcPr>
            <w:tcW w:w="1588" w:type="dxa"/>
            <w:tcBorders>
              <w:top w:val="nil"/>
              <w:left w:val="nil"/>
              <w:bottom w:val="single" w:sz="4" w:space="0" w:color="auto"/>
              <w:right w:val="single" w:sz="4" w:space="0" w:color="auto"/>
            </w:tcBorders>
            <w:shd w:val="clear" w:color="000000" w:fill="FBFBFB"/>
            <w:noWrap/>
            <w:vAlign w:val="center"/>
            <w:hideMark/>
          </w:tcPr>
          <w:p w14:paraId="751888AF"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5,942,171 </w:t>
            </w:r>
          </w:p>
        </w:tc>
        <w:tc>
          <w:tcPr>
            <w:tcW w:w="1588" w:type="dxa"/>
            <w:tcBorders>
              <w:top w:val="nil"/>
              <w:left w:val="nil"/>
              <w:bottom w:val="single" w:sz="4" w:space="0" w:color="auto"/>
              <w:right w:val="single" w:sz="4" w:space="0" w:color="auto"/>
            </w:tcBorders>
            <w:shd w:val="clear" w:color="000000" w:fill="FBFBFB"/>
            <w:noWrap/>
            <w:vAlign w:val="center"/>
            <w:hideMark/>
          </w:tcPr>
          <w:p w14:paraId="4940A06D"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6,582,228 </w:t>
            </w:r>
          </w:p>
        </w:tc>
      </w:tr>
      <w:tr w:rsidR="00CA2C9E" w14:paraId="73E6EF23"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668BEAF5"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Jun 2025 (p)</w:t>
            </w:r>
          </w:p>
        </w:tc>
        <w:tc>
          <w:tcPr>
            <w:tcW w:w="1587" w:type="dxa"/>
            <w:tcBorders>
              <w:top w:val="nil"/>
              <w:left w:val="nil"/>
              <w:bottom w:val="single" w:sz="4" w:space="0" w:color="auto"/>
              <w:right w:val="single" w:sz="4" w:space="0" w:color="auto"/>
            </w:tcBorders>
            <w:shd w:val="clear" w:color="000000" w:fill="FBFBFB"/>
            <w:noWrap/>
            <w:vAlign w:val="center"/>
            <w:hideMark/>
          </w:tcPr>
          <w:p w14:paraId="20C1A2B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508,000 </w:t>
            </w:r>
          </w:p>
        </w:tc>
        <w:tc>
          <w:tcPr>
            <w:tcW w:w="1588" w:type="dxa"/>
            <w:tcBorders>
              <w:top w:val="nil"/>
              <w:left w:val="nil"/>
              <w:bottom w:val="single" w:sz="4" w:space="0" w:color="auto"/>
              <w:right w:val="single" w:sz="4" w:space="0" w:color="auto"/>
            </w:tcBorders>
            <w:shd w:val="clear" w:color="000000" w:fill="FBFBFB"/>
            <w:noWrap/>
            <w:vAlign w:val="center"/>
            <w:hideMark/>
          </w:tcPr>
          <w:p w14:paraId="3F8C9EB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76,190 </w:t>
            </w:r>
          </w:p>
        </w:tc>
        <w:tc>
          <w:tcPr>
            <w:tcW w:w="1587" w:type="dxa"/>
            <w:tcBorders>
              <w:top w:val="nil"/>
              <w:left w:val="nil"/>
              <w:bottom w:val="single" w:sz="4" w:space="0" w:color="auto"/>
              <w:right w:val="single" w:sz="4" w:space="0" w:color="auto"/>
            </w:tcBorders>
            <w:shd w:val="clear" w:color="000000" w:fill="FBFBFB"/>
            <w:noWrap/>
            <w:vAlign w:val="center"/>
            <w:hideMark/>
          </w:tcPr>
          <w:p w14:paraId="10B2014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61,122 </w:t>
            </w:r>
          </w:p>
        </w:tc>
        <w:tc>
          <w:tcPr>
            <w:tcW w:w="1588" w:type="dxa"/>
            <w:tcBorders>
              <w:top w:val="nil"/>
              <w:left w:val="nil"/>
              <w:bottom w:val="single" w:sz="4" w:space="0" w:color="auto"/>
              <w:right w:val="single" w:sz="4" w:space="0" w:color="auto"/>
            </w:tcBorders>
            <w:shd w:val="clear" w:color="000000" w:fill="FBFBFB"/>
            <w:noWrap/>
            <w:vAlign w:val="center"/>
            <w:hideMark/>
          </w:tcPr>
          <w:p w14:paraId="17E844CF"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6,035,873 </w:t>
            </w:r>
          </w:p>
        </w:tc>
        <w:tc>
          <w:tcPr>
            <w:tcW w:w="1588" w:type="dxa"/>
            <w:tcBorders>
              <w:top w:val="nil"/>
              <w:left w:val="nil"/>
              <w:bottom w:val="single" w:sz="4" w:space="0" w:color="auto"/>
              <w:right w:val="single" w:sz="4" w:space="0" w:color="auto"/>
            </w:tcBorders>
            <w:shd w:val="clear" w:color="000000" w:fill="FBFBFB"/>
            <w:noWrap/>
            <w:vAlign w:val="center"/>
            <w:hideMark/>
          </w:tcPr>
          <w:p w14:paraId="44A4734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6,681,189 </w:t>
            </w:r>
          </w:p>
        </w:tc>
      </w:tr>
      <w:tr w:rsidR="00CA2C9E" w14:paraId="428C7DEA"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7D710015"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Jul 2025 (p)</w:t>
            </w:r>
          </w:p>
        </w:tc>
        <w:tc>
          <w:tcPr>
            <w:tcW w:w="1587" w:type="dxa"/>
            <w:tcBorders>
              <w:top w:val="nil"/>
              <w:left w:val="nil"/>
              <w:bottom w:val="single" w:sz="4" w:space="0" w:color="auto"/>
              <w:right w:val="single" w:sz="4" w:space="0" w:color="auto"/>
            </w:tcBorders>
            <w:shd w:val="clear" w:color="000000" w:fill="FBFBFB"/>
            <w:noWrap/>
            <w:vAlign w:val="center"/>
            <w:hideMark/>
          </w:tcPr>
          <w:p w14:paraId="731D14E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500,144 </w:t>
            </w:r>
          </w:p>
        </w:tc>
        <w:tc>
          <w:tcPr>
            <w:tcW w:w="1588" w:type="dxa"/>
            <w:tcBorders>
              <w:top w:val="nil"/>
              <w:left w:val="nil"/>
              <w:bottom w:val="single" w:sz="4" w:space="0" w:color="auto"/>
              <w:right w:val="single" w:sz="4" w:space="0" w:color="auto"/>
            </w:tcBorders>
            <w:shd w:val="clear" w:color="000000" w:fill="FBFBFB"/>
            <w:noWrap/>
            <w:vAlign w:val="center"/>
            <w:hideMark/>
          </w:tcPr>
          <w:p w14:paraId="3DB78B5B"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87,538 </w:t>
            </w:r>
          </w:p>
        </w:tc>
        <w:tc>
          <w:tcPr>
            <w:tcW w:w="1587" w:type="dxa"/>
            <w:tcBorders>
              <w:top w:val="nil"/>
              <w:left w:val="nil"/>
              <w:bottom w:val="single" w:sz="4" w:space="0" w:color="auto"/>
              <w:right w:val="single" w:sz="4" w:space="0" w:color="auto"/>
            </w:tcBorders>
            <w:shd w:val="clear" w:color="000000" w:fill="FBFBFB"/>
            <w:noWrap/>
            <w:vAlign w:val="center"/>
            <w:hideMark/>
          </w:tcPr>
          <w:p w14:paraId="4569E6C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60,901 </w:t>
            </w:r>
          </w:p>
        </w:tc>
        <w:tc>
          <w:tcPr>
            <w:tcW w:w="1588" w:type="dxa"/>
            <w:tcBorders>
              <w:top w:val="nil"/>
              <w:left w:val="nil"/>
              <w:bottom w:val="single" w:sz="4" w:space="0" w:color="auto"/>
              <w:right w:val="single" w:sz="4" w:space="0" w:color="auto"/>
            </w:tcBorders>
            <w:shd w:val="clear" w:color="000000" w:fill="FBFBFB"/>
            <w:noWrap/>
            <w:vAlign w:val="center"/>
            <w:hideMark/>
          </w:tcPr>
          <w:p w14:paraId="0AC6DCB3"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6,117,182 </w:t>
            </w:r>
          </w:p>
        </w:tc>
        <w:tc>
          <w:tcPr>
            <w:tcW w:w="1588" w:type="dxa"/>
            <w:tcBorders>
              <w:top w:val="nil"/>
              <w:left w:val="nil"/>
              <w:bottom w:val="single" w:sz="4" w:space="0" w:color="auto"/>
              <w:right w:val="single" w:sz="4" w:space="0" w:color="auto"/>
            </w:tcBorders>
            <w:shd w:val="clear" w:color="000000" w:fill="FBFBFB"/>
            <w:noWrap/>
            <w:vAlign w:val="center"/>
            <w:hideMark/>
          </w:tcPr>
          <w:p w14:paraId="0A0D7D4C"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6,765,761 </w:t>
            </w:r>
          </w:p>
        </w:tc>
      </w:tr>
      <w:tr w:rsidR="00CA2C9E" w14:paraId="3B36E271" w14:textId="77777777" w:rsidTr="00781870">
        <w:trPr>
          <w:trHeight w:val="312"/>
        </w:trPr>
        <w:tc>
          <w:tcPr>
            <w:tcW w:w="1701" w:type="dxa"/>
            <w:tcBorders>
              <w:top w:val="nil"/>
              <w:left w:val="single" w:sz="4" w:space="0" w:color="auto"/>
              <w:bottom w:val="single" w:sz="4" w:space="0" w:color="auto"/>
              <w:right w:val="single" w:sz="4" w:space="0" w:color="auto"/>
            </w:tcBorders>
            <w:vAlign w:val="bottom"/>
            <w:hideMark/>
          </w:tcPr>
          <w:p w14:paraId="22C7416B" w14:textId="77777777" w:rsidR="00CA2C9E" w:rsidRPr="00186209" w:rsidRDefault="00CA2C9E" w:rsidP="00781870">
            <w:pPr>
              <w:overflowPunct/>
              <w:autoSpaceDN/>
              <w:spacing w:line="300" w:lineRule="atLeast"/>
              <w:textAlignment w:val="auto"/>
              <w:rPr>
                <w:rFonts w:ascii="Arial" w:hAnsi="Arial" w:cs="Arial"/>
                <w:b/>
                <w:bCs/>
                <w:kern w:val="0"/>
              </w:rPr>
            </w:pPr>
            <w:r w:rsidRPr="00186209">
              <w:rPr>
                <w:rFonts w:ascii="Arial" w:hAnsi="Arial" w:cs="Arial"/>
                <w:b/>
                <w:bCs/>
                <w:kern w:val="0"/>
              </w:rPr>
              <w:t>Aug 2025 (p)</w:t>
            </w:r>
          </w:p>
        </w:tc>
        <w:tc>
          <w:tcPr>
            <w:tcW w:w="1587" w:type="dxa"/>
            <w:tcBorders>
              <w:top w:val="nil"/>
              <w:left w:val="nil"/>
              <w:bottom w:val="single" w:sz="4" w:space="0" w:color="auto"/>
              <w:right w:val="single" w:sz="4" w:space="0" w:color="auto"/>
            </w:tcBorders>
            <w:shd w:val="clear" w:color="000000" w:fill="FBFBFB"/>
            <w:noWrap/>
            <w:vAlign w:val="center"/>
            <w:hideMark/>
          </w:tcPr>
          <w:p w14:paraId="51255D51"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548,641 </w:t>
            </w:r>
          </w:p>
        </w:tc>
        <w:tc>
          <w:tcPr>
            <w:tcW w:w="1588" w:type="dxa"/>
            <w:tcBorders>
              <w:top w:val="nil"/>
              <w:left w:val="nil"/>
              <w:bottom w:val="single" w:sz="4" w:space="0" w:color="auto"/>
              <w:right w:val="single" w:sz="4" w:space="0" w:color="auto"/>
            </w:tcBorders>
            <w:shd w:val="clear" w:color="000000" w:fill="FBFBFB"/>
            <w:noWrap/>
            <w:vAlign w:val="center"/>
            <w:hideMark/>
          </w:tcPr>
          <w:p w14:paraId="2179D627"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56,552 </w:t>
            </w:r>
          </w:p>
        </w:tc>
        <w:tc>
          <w:tcPr>
            <w:tcW w:w="1587" w:type="dxa"/>
            <w:tcBorders>
              <w:top w:val="nil"/>
              <w:left w:val="nil"/>
              <w:bottom w:val="single" w:sz="4" w:space="0" w:color="auto"/>
              <w:right w:val="single" w:sz="4" w:space="0" w:color="auto"/>
            </w:tcBorders>
            <w:shd w:val="clear" w:color="000000" w:fill="FBFBFB"/>
            <w:noWrap/>
            <w:vAlign w:val="center"/>
            <w:hideMark/>
          </w:tcPr>
          <w:p w14:paraId="5A1954F5"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61,240 </w:t>
            </w:r>
          </w:p>
        </w:tc>
        <w:tc>
          <w:tcPr>
            <w:tcW w:w="1588" w:type="dxa"/>
            <w:tcBorders>
              <w:top w:val="nil"/>
              <w:left w:val="nil"/>
              <w:bottom w:val="single" w:sz="4" w:space="0" w:color="auto"/>
              <w:right w:val="single" w:sz="4" w:space="0" w:color="auto"/>
            </w:tcBorders>
            <w:shd w:val="clear" w:color="000000" w:fill="FBFBFB"/>
            <w:noWrap/>
            <w:vAlign w:val="center"/>
            <w:hideMark/>
          </w:tcPr>
          <w:p w14:paraId="18DD1D16"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6,195,859 </w:t>
            </w:r>
          </w:p>
        </w:tc>
        <w:tc>
          <w:tcPr>
            <w:tcW w:w="1588" w:type="dxa"/>
            <w:tcBorders>
              <w:top w:val="nil"/>
              <w:left w:val="nil"/>
              <w:bottom w:val="single" w:sz="4" w:space="0" w:color="auto"/>
              <w:right w:val="single" w:sz="4" w:space="0" w:color="auto"/>
            </w:tcBorders>
            <w:shd w:val="clear" w:color="000000" w:fill="FBFBFB"/>
            <w:noWrap/>
            <w:vAlign w:val="center"/>
            <w:hideMark/>
          </w:tcPr>
          <w:p w14:paraId="75B1A5E9" w14:textId="77777777" w:rsidR="00CA2C9E" w:rsidRPr="00186209" w:rsidRDefault="00CA2C9E" w:rsidP="00781870">
            <w:pPr>
              <w:overflowPunct/>
              <w:autoSpaceDN/>
              <w:spacing w:line="300" w:lineRule="atLeast"/>
              <w:jc w:val="right"/>
              <w:textAlignment w:val="auto"/>
              <w:rPr>
                <w:rFonts w:ascii="Arial" w:hAnsi="Arial" w:cs="Arial"/>
                <w:kern w:val="0"/>
              </w:rPr>
            </w:pPr>
            <w:r w:rsidRPr="00186209">
              <w:rPr>
                <w:rFonts w:ascii="Arial" w:hAnsi="Arial" w:cs="Arial"/>
                <w:kern w:val="0"/>
              </w:rPr>
              <w:t xml:space="preserve">   6,862,289 </w:t>
            </w:r>
          </w:p>
        </w:tc>
      </w:tr>
    </w:tbl>
    <w:p w14:paraId="4399DA33" w14:textId="77777777" w:rsidR="00CA2C9E" w:rsidRPr="00186209" w:rsidRDefault="00CA2C9E" w:rsidP="00CA2C9E">
      <w:pPr>
        <w:tabs>
          <w:tab w:val="left" w:pos="-720"/>
        </w:tabs>
        <w:spacing w:line="300" w:lineRule="atLeast"/>
      </w:pPr>
    </w:p>
    <w:p w14:paraId="0054A582" w14:textId="77777777" w:rsidR="00CA2C9E" w:rsidRDefault="00CA2C9E" w:rsidP="00CA2C9E">
      <w:pPr>
        <w:spacing w:line="300" w:lineRule="atLeast"/>
        <w:rPr>
          <w:rFonts w:ascii="Arial" w:hAnsi="Arial" w:cs="Arial"/>
          <w:b/>
        </w:rPr>
      </w:pPr>
      <w:r w:rsidRPr="00796DAE">
        <w:rPr>
          <w:rFonts w:ascii="Arial" w:hAnsi="Arial" w:cs="Arial"/>
          <w:bCs/>
        </w:rPr>
        <w:t>Source:</w:t>
      </w:r>
      <w:r>
        <w:rPr>
          <w:rFonts w:ascii="Arial" w:hAnsi="Arial" w:cs="Arial"/>
          <w:bCs/>
        </w:rPr>
        <w:t xml:space="preserve"> </w:t>
      </w:r>
      <w:hyperlink r:id="rId7" w:history="1">
        <w:r w:rsidRPr="007F575F">
          <w:rPr>
            <w:rStyle w:val="Hyperlink"/>
            <w:rFonts w:ascii="Arial" w:hAnsi="Arial" w:cs="Arial"/>
            <w:bCs/>
          </w:rPr>
          <w:t>Stat-Xplore</w:t>
        </w:r>
      </w:hyperlink>
      <w:r>
        <w:t xml:space="preserve"> - </w:t>
      </w:r>
      <w:r w:rsidRPr="004E40CE">
        <w:rPr>
          <w:rFonts w:ascii="Arial" w:hAnsi="Arial" w:cs="Arial"/>
          <w:bCs/>
        </w:rPr>
        <w:t>Households on Universal Credit</w:t>
      </w:r>
      <w:r>
        <w:rPr>
          <w:rFonts w:ascii="Arial" w:hAnsi="Arial" w:cs="Arial"/>
          <w:bCs/>
        </w:rPr>
        <w:t xml:space="preserve"> dataset </w:t>
      </w:r>
    </w:p>
    <w:p w14:paraId="4A5E0A92" w14:textId="77777777" w:rsidR="00CA2C9E" w:rsidRDefault="00CA2C9E" w:rsidP="00CA2C9E">
      <w:pPr>
        <w:spacing w:line="300" w:lineRule="atLeast"/>
        <w:rPr>
          <w:rFonts w:ascii="Arial" w:hAnsi="Arial" w:cs="Arial"/>
          <w:b/>
        </w:rPr>
      </w:pPr>
    </w:p>
    <w:p w14:paraId="14C87289" w14:textId="77777777" w:rsidR="00CA2C9E" w:rsidRDefault="00CA2C9E" w:rsidP="00CA2C9E">
      <w:pPr>
        <w:spacing w:line="300" w:lineRule="atLeast"/>
        <w:rPr>
          <w:rFonts w:ascii="Arial" w:hAnsi="Arial" w:cs="Arial"/>
          <w:b/>
        </w:rPr>
      </w:pPr>
      <w:r>
        <w:rPr>
          <w:rFonts w:ascii="Arial" w:hAnsi="Arial" w:cs="Arial"/>
          <w:b/>
        </w:rPr>
        <w:t>Notes:</w:t>
      </w:r>
    </w:p>
    <w:p w14:paraId="68DEBE6B" w14:textId="77777777" w:rsidR="00CA2C9E" w:rsidRDefault="00CA2C9E" w:rsidP="00CA2C9E">
      <w:pPr>
        <w:pStyle w:val="ListParagraph"/>
        <w:numPr>
          <w:ilvl w:val="0"/>
          <w:numId w:val="1"/>
        </w:numPr>
        <w:spacing w:line="300" w:lineRule="atLeast"/>
        <w:rPr>
          <w:rFonts w:ascii="Arial" w:hAnsi="Arial" w:cs="Arial"/>
          <w:bCs/>
        </w:rPr>
      </w:pPr>
      <w:r w:rsidRPr="007F575F">
        <w:rPr>
          <w:rFonts w:ascii="Arial" w:hAnsi="Arial" w:cs="Arial"/>
          <w:bCs/>
        </w:rPr>
        <w:t>Statistical disclosure control has been applied to avoid the release of confidential data</w:t>
      </w:r>
      <w:r>
        <w:rPr>
          <w:rFonts w:ascii="Arial" w:hAnsi="Arial" w:cs="Arial"/>
          <w:bCs/>
        </w:rPr>
        <w:t xml:space="preserve"> and t</w:t>
      </w:r>
      <w:r w:rsidRPr="007F575F">
        <w:rPr>
          <w:rFonts w:ascii="Arial" w:hAnsi="Arial" w:cs="Arial"/>
          <w:bCs/>
        </w:rPr>
        <w:t>otals may not sum due to th</w:t>
      </w:r>
      <w:r>
        <w:rPr>
          <w:rFonts w:ascii="Arial" w:hAnsi="Arial" w:cs="Arial"/>
          <w:bCs/>
        </w:rPr>
        <w:t>is</w:t>
      </w:r>
      <w:r w:rsidRPr="007F575F">
        <w:rPr>
          <w:rFonts w:ascii="Arial" w:hAnsi="Arial" w:cs="Arial"/>
          <w:bCs/>
        </w:rPr>
        <w:t>.</w:t>
      </w:r>
    </w:p>
    <w:p w14:paraId="443C081B" w14:textId="77777777" w:rsidR="00CA2C9E" w:rsidRDefault="00CA2C9E" w:rsidP="00CA2C9E">
      <w:pPr>
        <w:pStyle w:val="ListParagraph"/>
        <w:numPr>
          <w:ilvl w:val="0"/>
          <w:numId w:val="1"/>
        </w:numPr>
        <w:spacing w:line="300" w:lineRule="atLeast"/>
        <w:rPr>
          <w:rFonts w:ascii="Arial" w:hAnsi="Arial" w:cs="Arial"/>
          <w:bCs/>
        </w:rPr>
      </w:pPr>
      <w:r>
        <w:rPr>
          <w:rFonts w:ascii="Arial" w:hAnsi="Arial" w:cs="Arial"/>
          <w:bCs/>
        </w:rPr>
        <w:t>Figures are</w:t>
      </w:r>
      <w:r w:rsidRPr="00115A92">
        <w:rPr>
          <w:rFonts w:ascii="Arial" w:hAnsi="Arial" w:cs="Arial"/>
          <w:bCs/>
        </w:rPr>
        <w:t xml:space="preserve"> from the </w:t>
      </w:r>
      <w:hyperlink r:id="rId8" w:history="1">
        <w:r w:rsidRPr="00115A92">
          <w:rPr>
            <w:rStyle w:val="Hyperlink"/>
            <w:rFonts w:ascii="Arial" w:hAnsi="Arial" w:cs="Arial"/>
            <w:bCs/>
          </w:rPr>
          <w:t>Households on Universal Credit</w:t>
        </w:r>
      </w:hyperlink>
      <w:r w:rsidRPr="00115A92">
        <w:rPr>
          <w:rFonts w:ascii="Arial" w:hAnsi="Arial" w:cs="Arial"/>
          <w:bCs/>
        </w:rPr>
        <w:t xml:space="preserve"> dataset on </w:t>
      </w:r>
      <w:hyperlink r:id="rId9" w:history="1">
        <w:r w:rsidRPr="00115A92">
          <w:rPr>
            <w:rStyle w:val="Hyperlink"/>
            <w:rFonts w:ascii="Arial" w:hAnsi="Arial" w:cs="Arial"/>
            <w:bCs/>
          </w:rPr>
          <w:t>Stat-Xplore</w:t>
        </w:r>
      </w:hyperlink>
      <w:r w:rsidRPr="00115A92">
        <w:rPr>
          <w:rFonts w:ascii="Arial" w:hAnsi="Arial" w:cs="Arial"/>
        </w:rPr>
        <w:t xml:space="preserve"> </w:t>
      </w:r>
      <w:r w:rsidRPr="00115A92">
        <w:rPr>
          <w:rFonts w:ascii="Arial" w:hAnsi="Arial" w:cs="Arial"/>
          <w:bCs/>
        </w:rPr>
        <w:t>using the custom range function</w:t>
      </w:r>
      <w:r>
        <w:rPr>
          <w:rFonts w:ascii="Arial" w:hAnsi="Arial" w:cs="Arial"/>
          <w:bCs/>
        </w:rPr>
        <w:t>ality,</w:t>
      </w:r>
      <w:r w:rsidRPr="00115A92">
        <w:rPr>
          <w:rFonts w:ascii="Arial" w:hAnsi="Arial" w:cs="Arial"/>
          <w:bCs/>
        </w:rPr>
        <w:t xml:space="preserve"> available to </w:t>
      </w:r>
      <w:r>
        <w:rPr>
          <w:rFonts w:ascii="Arial" w:hAnsi="Arial" w:cs="Arial"/>
          <w:bCs/>
        </w:rPr>
        <w:t xml:space="preserve">registered </w:t>
      </w:r>
      <w:r w:rsidRPr="00115A92">
        <w:rPr>
          <w:rFonts w:ascii="Arial" w:hAnsi="Arial" w:cs="Arial"/>
          <w:bCs/>
        </w:rPr>
        <w:t>users</w:t>
      </w:r>
      <w:r>
        <w:rPr>
          <w:rFonts w:ascii="Arial" w:hAnsi="Arial" w:cs="Arial"/>
          <w:bCs/>
        </w:rPr>
        <w:t>.</w:t>
      </w:r>
    </w:p>
    <w:p w14:paraId="4E0FC99A" w14:textId="77777777" w:rsidR="00CA2C9E" w:rsidRDefault="00CA2C9E" w:rsidP="00CA2C9E">
      <w:pPr>
        <w:pStyle w:val="ListParagraph"/>
        <w:numPr>
          <w:ilvl w:val="0"/>
          <w:numId w:val="1"/>
        </w:numPr>
        <w:spacing w:line="300" w:lineRule="atLeast"/>
        <w:rPr>
          <w:rFonts w:ascii="Arial" w:hAnsi="Arial" w:cs="Arial"/>
          <w:bCs/>
        </w:rPr>
      </w:pPr>
      <w:r>
        <w:rPr>
          <w:rFonts w:ascii="Arial" w:hAnsi="Arial" w:cs="Arial"/>
          <w:bCs/>
        </w:rPr>
        <w:t>H</w:t>
      </w:r>
      <w:r w:rsidRPr="00940CFB">
        <w:rPr>
          <w:rFonts w:ascii="Arial" w:hAnsi="Arial" w:cs="Arial"/>
          <w:bCs/>
        </w:rPr>
        <w:t xml:space="preserve">ouseholds </w:t>
      </w:r>
      <w:r>
        <w:rPr>
          <w:rFonts w:ascii="Arial" w:hAnsi="Arial" w:cs="Arial"/>
          <w:bCs/>
        </w:rPr>
        <w:t>on</w:t>
      </w:r>
      <w:r w:rsidRPr="00940CFB">
        <w:rPr>
          <w:rFonts w:ascii="Arial" w:hAnsi="Arial" w:cs="Arial"/>
          <w:bCs/>
        </w:rPr>
        <w:t xml:space="preserve"> UC each month is defined as th</w:t>
      </w:r>
      <w:r>
        <w:rPr>
          <w:rFonts w:ascii="Arial" w:hAnsi="Arial" w:cs="Arial"/>
          <w:bCs/>
        </w:rPr>
        <w:t>ose</w:t>
      </w:r>
      <w:r w:rsidRPr="00940CFB">
        <w:rPr>
          <w:rFonts w:ascii="Arial" w:hAnsi="Arial" w:cs="Arial"/>
          <w:bCs/>
        </w:rPr>
        <w:t xml:space="preserve"> that have an assessment period that spans the count date of that month.</w:t>
      </w:r>
      <w:r>
        <w:rPr>
          <w:rFonts w:ascii="Arial" w:hAnsi="Arial" w:cs="Arial"/>
          <w:sz w:val="29"/>
          <w:szCs w:val="29"/>
        </w:rPr>
        <w:t xml:space="preserve"> </w:t>
      </w:r>
      <w:r>
        <w:rPr>
          <w:rFonts w:ascii="Arial" w:hAnsi="Arial" w:cs="Arial"/>
          <w:bCs/>
        </w:rPr>
        <w:t xml:space="preserve">Additionally, </w:t>
      </w:r>
      <w:r w:rsidRPr="00F4089D">
        <w:rPr>
          <w:rFonts w:ascii="Arial" w:hAnsi="Arial" w:cs="Arial"/>
          <w:bCs/>
        </w:rPr>
        <w:t>that entitlement must have been calculated for the period. This will include households with claims that are</w:t>
      </w:r>
      <w:r>
        <w:rPr>
          <w:rFonts w:ascii="Arial" w:hAnsi="Arial" w:cs="Arial"/>
          <w:bCs/>
        </w:rPr>
        <w:t>;</w:t>
      </w:r>
      <w:r w:rsidRPr="00F4089D">
        <w:rPr>
          <w:rFonts w:ascii="Arial" w:hAnsi="Arial" w:cs="Arial"/>
          <w:bCs/>
        </w:rPr>
        <w:t xml:space="preserve"> live and in payment</w:t>
      </w:r>
      <w:r>
        <w:rPr>
          <w:rFonts w:ascii="Arial" w:hAnsi="Arial" w:cs="Arial"/>
          <w:bCs/>
        </w:rPr>
        <w:t>;</w:t>
      </w:r>
      <w:r w:rsidRPr="00F4089D">
        <w:rPr>
          <w:rFonts w:ascii="Arial" w:hAnsi="Arial" w:cs="Arial"/>
          <w:bCs/>
        </w:rPr>
        <w:t xml:space="preserve"> live and have a nil award (due to earnings or deductions) or temporarily suspended.</w:t>
      </w:r>
    </w:p>
    <w:p w14:paraId="4EB5F1F6" w14:textId="77777777" w:rsidR="00CA2C9E" w:rsidRDefault="00CA2C9E" w:rsidP="00CA2C9E">
      <w:pPr>
        <w:pStyle w:val="ListParagraph"/>
        <w:numPr>
          <w:ilvl w:val="0"/>
          <w:numId w:val="1"/>
        </w:numPr>
        <w:spacing w:line="300" w:lineRule="atLeast"/>
        <w:rPr>
          <w:rFonts w:ascii="Arial" w:hAnsi="Arial" w:cs="Arial"/>
          <w:bCs/>
        </w:rPr>
      </w:pPr>
      <w:r w:rsidRPr="005116BC">
        <w:rPr>
          <w:rFonts w:ascii="Arial" w:hAnsi="Arial" w:cs="Arial"/>
          <w:bCs/>
        </w:rPr>
        <w:t xml:space="preserve">Households may not be in payment if, for example, earnings for the period are sufficiently high that the taper rate reduces their entitlement to </w:t>
      </w:r>
      <w:r w:rsidRPr="005116BC">
        <w:rPr>
          <w:rFonts w:ascii="Arial" w:hAnsi="Arial" w:cs="Arial" w:hint="eastAsia"/>
          <w:bCs/>
        </w:rPr>
        <w:t>£</w:t>
      </w:r>
      <w:r w:rsidRPr="005116BC">
        <w:rPr>
          <w:rFonts w:ascii="Arial" w:hAnsi="Arial" w:cs="Arial"/>
          <w:bCs/>
        </w:rPr>
        <w:t>0.</w:t>
      </w:r>
    </w:p>
    <w:p w14:paraId="35103C1D" w14:textId="77777777" w:rsidR="00CA2C9E" w:rsidRDefault="00CA2C9E" w:rsidP="00CA2C9E">
      <w:pPr>
        <w:pStyle w:val="ListParagraph"/>
        <w:numPr>
          <w:ilvl w:val="0"/>
          <w:numId w:val="1"/>
        </w:numPr>
        <w:spacing w:line="300" w:lineRule="atLeast"/>
        <w:rPr>
          <w:rFonts w:ascii="Arial" w:hAnsi="Arial" w:cs="Arial"/>
          <w:bCs/>
        </w:rPr>
      </w:pPr>
      <w:r w:rsidRPr="00940CFB">
        <w:rPr>
          <w:rFonts w:ascii="Arial" w:hAnsi="Arial" w:cs="Arial"/>
          <w:bCs/>
        </w:rPr>
        <w:t>Data for more recent months will be subject to a higher degree of revision. UC award amounts may be retrospectively revised.</w:t>
      </w:r>
    </w:p>
    <w:p w14:paraId="4ADF04E5" w14:textId="77777777" w:rsidR="00CA2C9E" w:rsidRDefault="00CA2C9E" w:rsidP="00CA2C9E">
      <w:pPr>
        <w:pStyle w:val="ListParagraph"/>
        <w:numPr>
          <w:ilvl w:val="0"/>
          <w:numId w:val="1"/>
        </w:numPr>
        <w:spacing w:line="300" w:lineRule="atLeast"/>
        <w:rPr>
          <w:rFonts w:ascii="Arial" w:hAnsi="Arial" w:cs="Arial"/>
          <w:bCs/>
        </w:rPr>
      </w:pPr>
      <w:r w:rsidRPr="00940CFB">
        <w:rPr>
          <w:rFonts w:ascii="Arial" w:hAnsi="Arial" w:cs="Arial"/>
          <w:bCs/>
        </w:rPr>
        <w:t>Monthly award amounts include any awards due to entitlement such as the standard allowance or housing entitlement plus any advance payments. Advance payments will normally be recovered during subsequent assessment periods.</w:t>
      </w:r>
    </w:p>
    <w:p w14:paraId="68CB8F4B" w14:textId="77777777" w:rsidR="00CA2C9E" w:rsidRDefault="00CA2C9E" w:rsidP="00CA2C9E">
      <w:pPr>
        <w:pStyle w:val="ListParagraph"/>
        <w:numPr>
          <w:ilvl w:val="0"/>
          <w:numId w:val="1"/>
        </w:numPr>
        <w:spacing w:line="300" w:lineRule="atLeast"/>
        <w:rPr>
          <w:rFonts w:ascii="Arial" w:hAnsi="Arial" w:cs="Arial"/>
          <w:bCs/>
        </w:rPr>
      </w:pPr>
      <w:r w:rsidRPr="00940CFB">
        <w:rPr>
          <w:rFonts w:ascii="Arial" w:hAnsi="Arial" w:cs="Arial"/>
          <w:bCs/>
        </w:rPr>
        <w:t>Award, entitlement and payment information may be missing for a very small number of households on Universal Credit, where more limited information is entered onto IT systems.</w:t>
      </w:r>
    </w:p>
    <w:p w14:paraId="644522BC" w14:textId="77777777" w:rsidR="00CA2C9E" w:rsidRPr="00940CFB" w:rsidRDefault="00CA2C9E" w:rsidP="00CA2C9E">
      <w:pPr>
        <w:pStyle w:val="ListParagraph"/>
        <w:numPr>
          <w:ilvl w:val="0"/>
          <w:numId w:val="1"/>
        </w:numPr>
        <w:spacing w:line="300" w:lineRule="atLeast"/>
        <w:rPr>
          <w:rFonts w:ascii="Arial" w:hAnsi="Arial" w:cs="Arial"/>
          <w:bCs/>
        </w:rPr>
      </w:pPr>
      <w:r w:rsidRPr="00940CFB">
        <w:rPr>
          <w:rFonts w:ascii="Arial" w:hAnsi="Arial" w:cs="Arial"/>
          <w:bCs/>
        </w:rPr>
        <w:lastRenderedPageBreak/>
        <w:t xml:space="preserve">"p" </w:t>
      </w:r>
      <w:r>
        <w:rPr>
          <w:rFonts w:ascii="Arial" w:hAnsi="Arial" w:cs="Arial"/>
          <w:bCs/>
        </w:rPr>
        <w:t xml:space="preserve">indicates </w:t>
      </w:r>
      <w:r w:rsidRPr="00940CFB">
        <w:rPr>
          <w:rFonts w:ascii="Arial" w:hAnsi="Arial" w:cs="Arial"/>
          <w:bCs/>
        </w:rPr>
        <w:t>provisional</w:t>
      </w:r>
      <w:r>
        <w:rPr>
          <w:rFonts w:ascii="Arial" w:hAnsi="Arial" w:cs="Arial"/>
          <w:bCs/>
        </w:rPr>
        <w:t xml:space="preserve"> figures which</w:t>
      </w:r>
      <w:r w:rsidRPr="00940CFB">
        <w:rPr>
          <w:rFonts w:ascii="Arial" w:hAnsi="Arial" w:cs="Arial"/>
          <w:bCs/>
        </w:rPr>
        <w:t xml:space="preserve"> will be subject to revision in subsequent releases. It is expected that overall provisional figures will be within two per cent of their revised figure.</w:t>
      </w:r>
    </w:p>
    <w:p w14:paraId="4B52751E" w14:textId="77777777" w:rsidR="00CA2C9E" w:rsidRDefault="00CA2C9E" w:rsidP="00CA2C9E">
      <w:pPr>
        <w:pStyle w:val="ListParagraph"/>
        <w:numPr>
          <w:ilvl w:val="0"/>
          <w:numId w:val="1"/>
        </w:numPr>
        <w:spacing w:line="300" w:lineRule="atLeast"/>
        <w:rPr>
          <w:rFonts w:ascii="Arial" w:hAnsi="Arial" w:cs="Arial"/>
          <w:bCs/>
        </w:rPr>
      </w:pPr>
      <w:r w:rsidRPr="00940CFB">
        <w:rPr>
          <w:rFonts w:ascii="Arial" w:hAnsi="Arial" w:cs="Arial"/>
          <w:bCs/>
        </w:rPr>
        <w:t xml:space="preserve">"r" </w:t>
      </w:r>
      <w:r>
        <w:rPr>
          <w:rFonts w:ascii="Arial" w:hAnsi="Arial" w:cs="Arial"/>
          <w:bCs/>
        </w:rPr>
        <w:t xml:space="preserve">indicates figures </w:t>
      </w:r>
      <w:r w:rsidRPr="00940CFB">
        <w:rPr>
          <w:rFonts w:ascii="Arial" w:hAnsi="Arial" w:cs="Arial"/>
          <w:bCs/>
        </w:rPr>
        <w:t>revised since the previous release.</w:t>
      </w:r>
    </w:p>
    <w:p w14:paraId="3563CC2D" w14:textId="77777777" w:rsidR="00CA2C9E" w:rsidRPr="00940CFB" w:rsidRDefault="00CA2C9E" w:rsidP="00CA2C9E">
      <w:pPr>
        <w:pStyle w:val="ListParagraph"/>
        <w:numPr>
          <w:ilvl w:val="0"/>
          <w:numId w:val="1"/>
        </w:numPr>
        <w:spacing w:line="300" w:lineRule="atLeast"/>
        <w:rPr>
          <w:rFonts w:ascii="Arial" w:hAnsi="Arial" w:cs="Arial"/>
          <w:bCs/>
        </w:rPr>
      </w:pPr>
      <w:r>
        <w:rPr>
          <w:rFonts w:ascii="Arial" w:hAnsi="Arial" w:cs="Arial"/>
          <w:bCs/>
        </w:rPr>
        <w:t xml:space="preserve">Further details on the methodology used to produce UC payment statistics can be found in the </w:t>
      </w:r>
      <w:hyperlink r:id="rId10" w:anchor=":~:text=unknowns%20for%20children.-,Payments,-Information%20is%20published" w:history="1">
        <w:r w:rsidRPr="00421730">
          <w:rPr>
            <w:rStyle w:val="Hyperlink"/>
            <w:rFonts w:ascii="Arial" w:hAnsi="Arial" w:cs="Arial"/>
            <w:bCs/>
          </w:rPr>
          <w:t>UC statistics: background information and methodology</w:t>
        </w:r>
      </w:hyperlink>
      <w:r>
        <w:rPr>
          <w:rFonts w:ascii="Arial" w:hAnsi="Arial" w:cs="Arial"/>
          <w:bCs/>
        </w:rPr>
        <w:t>.</w:t>
      </w:r>
    </w:p>
    <w:p w14:paraId="11519571" w14:textId="77777777" w:rsidR="00CA2C9E" w:rsidRDefault="00CA2C9E"/>
    <w:sectPr w:rsidR="00CA2C9E">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E3ACF" w14:textId="77777777" w:rsidR="00CA2C9E" w:rsidRDefault="00CA2C9E" w:rsidP="00CA2C9E">
      <w:r>
        <w:separator/>
      </w:r>
    </w:p>
  </w:endnote>
  <w:endnote w:type="continuationSeparator" w:id="0">
    <w:p w14:paraId="45FCA7DE" w14:textId="77777777" w:rsidR="00CA2C9E" w:rsidRDefault="00CA2C9E" w:rsidP="00CA2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G Times">
    <w:altName w:val="Times New Roman"/>
    <w:charset w:val="00"/>
    <w:family w:val="roman"/>
    <w:pitch w:val="variable"/>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48643" w14:textId="7E1FA822" w:rsidR="00CA2C9E" w:rsidRDefault="00CA2C9E">
    <w:pPr>
      <w:pStyle w:val="Footer"/>
    </w:pPr>
    <w:r>
      <w:rPr>
        <w:noProof/>
        <w14:ligatures w14:val="standardContextual"/>
      </w:rPr>
      <mc:AlternateContent>
        <mc:Choice Requires="wps">
          <w:drawing>
            <wp:anchor distT="0" distB="0" distL="0" distR="0" simplePos="0" relativeHeight="251668480" behindDoc="0" locked="0" layoutInCell="1" allowOverlap="1" wp14:anchorId="1F8219D0" wp14:editId="4EBEC837">
              <wp:simplePos x="635" y="635"/>
              <wp:positionH relativeFrom="page">
                <wp:align>center</wp:align>
              </wp:positionH>
              <wp:positionV relativeFrom="page">
                <wp:align>bottom</wp:align>
              </wp:positionV>
              <wp:extent cx="476250" cy="376555"/>
              <wp:effectExtent l="0" t="0" r="0" b="0"/>
              <wp:wrapNone/>
              <wp:docPr id="319348560"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703C9813" w14:textId="5FA30603"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8219D0" id="_x0000_t202" coordsize="21600,21600" o:spt="202" path="m,l,21600r21600,l21600,xe">
              <v:stroke joinstyle="miter"/>
              <v:path gradientshapeok="t" o:connecttype="rect"/>
            </v:shapetype>
            <v:shape id="Text Box 11" o:spid="_x0000_s1028" type="#_x0000_t202" alt="Official" style="position:absolute;margin-left:0;margin-top:0;width:37.5pt;height:29.65pt;z-index:25166848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7P4DQIAABwEAAAOAAAAZHJzL2Uyb0RvYy54bWysU8Fu2zAMvQ/YPwi6L3ayJe2MOEXWIsOA&#10;oC2QDj0rshQbsESBUmJnXz9KiZOt22nYRaZJ6pF8fJrf9aZlB4W+AVvy8SjnTFkJVWN3Jf/+svpw&#10;y5kPwlaiBatKflSe3y3ev5t3rlATqKGtFDICsb7oXMnrEFyRZV7Wygg/AqcsBTWgEYF+cZdVKDpC&#10;N202yfNZ1gFWDkEq78n7cAryRcLXWsnwpLVXgbUlp95COjGd23hmi7kodihc3chzG+IfujCisVT0&#10;AvUggmB7bP6AMo1E8KDDSILJQOtGqjQDTTPO30yzqYVTaRYix7sLTf7/wcrHw8Y9Iwv9F+hpgZGQ&#10;zvnCkzPO02s08UudMooThccLbaoPTJLz081sMqWIpNDHm9l0Oo0o2fWyQx++KjAsGiVH2koiSxzW&#10;PpxSh5RYy8Kqadu0mdb+5iDM6MmuHUYr9NueNVXJU93o2UJ1pKEQTvv2Tq4aKr0WPjwLpAVTtyTa&#10;8ESHbqErOZwtzmrAH3/zx3zinaKcdSSYkltSNGftN0v7iNoaDByMbTLGn/NpTnG7N/dAMhzTi3Ay&#10;meTF0A6mRjCvJOdlLEQhYSWVK/l2MO/DSbn0HKRaLlMSyciJsLYbJyN0pCty+dK/CnRnwgNt6hEG&#10;NYniDe+n3HjTu+U+EPtpKVciz4yTBNNaz88lavzX/5R1fdSLnwAAAP//AwBQSwMEFAAGAAgAAAAh&#10;ANN8qzrZAAAAAwEAAA8AAABkcnMvZG93bnJldi54bWxMj01PwzAMhu9I/IfISNxYyqrxUZpOaBKn&#10;IaRtXLh5idcWGqdq0q379xgucLH06rUePy6Xk+/UkYbYBjZwO8tAEdvgWq4NvO9ebh5AxYTssAtM&#10;Bs4UYVldXpRYuHDiDR23qVYC4ViggSalvtA62oY8xlnoiaU7hMFjkjjU2g14Erjv9DzL7rTHluVC&#10;gz2tGrJf29EbWGzS6/jGu/xjmp8/1/3K5oe1Neb6anp+ApVoSn/L8KMv6lCJ0z6M7KLqDMgj6XdK&#10;d7+QtBfuYw66KvV/9+obAAD//wMAUEsBAi0AFAAGAAgAAAAhALaDOJL+AAAA4QEAABMAAAAAAAAA&#10;AAAAAAAAAAAAAFtDb250ZW50X1R5cGVzXS54bWxQSwECLQAUAAYACAAAACEAOP0h/9YAAACUAQAA&#10;CwAAAAAAAAAAAAAAAAAvAQAAX3JlbHMvLnJlbHNQSwECLQAUAAYACAAAACEAYrez+A0CAAAcBAAA&#10;DgAAAAAAAAAAAAAAAAAuAgAAZHJzL2Uyb0RvYy54bWxQSwECLQAUAAYACAAAACEA03yrOtkAAAAD&#10;AQAADwAAAAAAAAAAAAAAAABnBAAAZHJzL2Rvd25yZXYueG1sUEsFBgAAAAAEAAQA8wAAAG0FAAAA&#10;AA==&#10;" filled="f" stroked="f">
              <v:fill o:detectmouseclick="t"/>
              <v:textbox style="mso-fit-shape-to-text:t" inset="0,0,0,15pt">
                <w:txbxContent>
                  <w:p w14:paraId="703C9813" w14:textId="5FA30603"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91A90" w14:textId="7B1CB127" w:rsidR="00CA2C9E" w:rsidRDefault="00CA2C9E">
    <w:pPr>
      <w:pStyle w:val="Footer"/>
    </w:pPr>
    <w:r>
      <w:rPr>
        <w:noProof/>
        <w14:ligatures w14:val="standardContextual"/>
      </w:rPr>
      <mc:AlternateContent>
        <mc:Choice Requires="wps">
          <w:drawing>
            <wp:anchor distT="0" distB="0" distL="0" distR="0" simplePos="0" relativeHeight="251669504" behindDoc="0" locked="0" layoutInCell="1" allowOverlap="1" wp14:anchorId="16C52141" wp14:editId="5AA10E4A">
              <wp:simplePos x="635" y="635"/>
              <wp:positionH relativeFrom="page">
                <wp:align>center</wp:align>
              </wp:positionH>
              <wp:positionV relativeFrom="page">
                <wp:align>bottom</wp:align>
              </wp:positionV>
              <wp:extent cx="476250" cy="376555"/>
              <wp:effectExtent l="0" t="0" r="0" b="0"/>
              <wp:wrapNone/>
              <wp:docPr id="2036893264" name="Text Box 1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4EF6477A" w14:textId="5920F34D"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C52141" id="_x0000_t202" coordsize="21600,21600" o:spt="202" path="m,l,21600r21600,l21600,xe">
              <v:stroke joinstyle="miter"/>
              <v:path gradientshapeok="t" o:connecttype="rect"/>
            </v:shapetype>
            <v:shape id="Text Box 12" o:spid="_x0000_s1029" type="#_x0000_t202" alt="Official" style="position:absolute;margin-left:0;margin-top:0;width:37.5pt;height:29.65pt;z-index:25166950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Bx1DgIAABwEAAAOAAAAZHJzL2Uyb0RvYy54bWysU8Fu2zAMvQ/YPwi6L3ayJe2MOEXWIsOA&#10;oC2QDj3LshQbkERBUmJnXz9KjpOt22nYRaZJ6pF8fFre9VqRo3C+BVPS6SSnRBgOdWv2Jf3+svlw&#10;S4kPzNRMgRElPQlP71bv3y07W4gZNKBq4QiCGF90tqRNCLbIMs8boZmfgBUGgxKcZgF/3T6rHesQ&#10;XatslueLrANXWwdceI/ehyFIVwlfSsHDk5ReBKJKir2FdLp0VvHMVktW7B2zTcvPbbB/6EKz1mDR&#10;C9QDC4wcXPsHlG65Aw8yTDjoDKRsuUgz4DTT/M00u4ZZkWZBcry90OT/Hyx/PO7ssyOh/wI9LjAS&#10;0llfeHTGeXrpdPxipwTjSOHpQpvoA+Ho/HSzmM0xwjH08WYxn88jSna9bJ0PXwVoEo2SOtxKIosd&#10;tz4MqWNKrGVg0yqVNqPMbw7EjJ7s2mG0Ql/1pK2x+Nh9BfUJh3Iw7Ntbvmmx9Jb58MwcLhi7RdGG&#10;Jzykgq6kcLYoacD9+Js/5iPvGKWkQ8GU1KCiKVHfDO4jams03GhUyZh+zuc5xs1B3wPKcIovwvJk&#10;otcFNZrSgX5FOa9jIQwxw7FcSavRvA+DcvE5cLFepySUkWVha3aWR+hIV+TypX9lzp4JD7ipRxjV&#10;xIo3vA+58aa360NA9tNSIrUDkWfGUYJprefnEjX+63/Kuj7q1U8AAAD//wMAUEsDBBQABgAIAAAA&#10;IQDTfKs62QAAAAMBAAAPAAAAZHJzL2Rvd25yZXYueG1sTI9NT8MwDIbvSPyHyEjcWMqq8VGaTmgS&#10;pyGkbVy4eYnXFhqnatKt+/cYLnCx9Oq1Hj8ul5Pv1JGG2AY2cDvLQBHb4FquDbzvXm4eQMWE7LAL&#10;TAbOFGFZXV6UWLhw4g0dt6lWAuFYoIEmpb7QOtqGPMZZ6ImlO4TBY5I41NoNeBK47/Q8y+60x5bl&#10;QoM9rRqyX9vRG1hs0uv4xrv8Y5qfP9f9yuaHtTXm+mp6fgKVaEp/y/CjL+pQidM+jOyi6gzII+l3&#10;Sne/kLQX7mMOuir1f/fqGwAA//8DAFBLAQItABQABgAIAAAAIQC2gziS/gAAAOEBAAATAAAAAAAA&#10;AAAAAAAAAAAAAABbQ29udGVudF9UeXBlc10ueG1sUEsBAi0AFAAGAAgAAAAhADj9If/WAAAAlAEA&#10;AAsAAAAAAAAAAAAAAAAALwEAAF9yZWxzLy5yZWxzUEsBAi0AFAAGAAgAAAAhAAw0HHUOAgAAHAQA&#10;AA4AAAAAAAAAAAAAAAAALgIAAGRycy9lMm9Eb2MueG1sUEsBAi0AFAAGAAgAAAAhANN8qzrZAAAA&#10;AwEAAA8AAAAAAAAAAAAAAAAAaAQAAGRycy9kb3ducmV2LnhtbFBLBQYAAAAABAAEAPMAAABuBQAA&#10;AAA=&#10;" filled="f" stroked="f">
              <v:fill o:detectmouseclick="t"/>
              <v:textbox style="mso-fit-shape-to-text:t" inset="0,0,0,15pt">
                <w:txbxContent>
                  <w:p w14:paraId="4EF6477A" w14:textId="5920F34D"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8A82A" w14:textId="171E66BE" w:rsidR="00CA2C9E" w:rsidRDefault="00CA2C9E">
    <w:pPr>
      <w:pStyle w:val="Footer"/>
    </w:pPr>
    <w:r>
      <w:rPr>
        <w:noProof/>
        <w14:ligatures w14:val="standardContextual"/>
      </w:rPr>
      <mc:AlternateContent>
        <mc:Choice Requires="wps">
          <w:drawing>
            <wp:anchor distT="0" distB="0" distL="0" distR="0" simplePos="0" relativeHeight="251667456" behindDoc="0" locked="0" layoutInCell="1" allowOverlap="1" wp14:anchorId="04585075" wp14:editId="53B691B0">
              <wp:simplePos x="635" y="635"/>
              <wp:positionH relativeFrom="page">
                <wp:align>center</wp:align>
              </wp:positionH>
              <wp:positionV relativeFrom="page">
                <wp:align>bottom</wp:align>
              </wp:positionV>
              <wp:extent cx="476250" cy="376555"/>
              <wp:effectExtent l="0" t="0" r="0" b="0"/>
              <wp:wrapNone/>
              <wp:docPr id="1051229870"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3E622D57" w14:textId="57722B82"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4585075" id="_x0000_t202" coordsize="21600,21600" o:spt="202" path="m,l,21600r21600,l21600,xe">
              <v:stroke joinstyle="miter"/>
              <v:path gradientshapeok="t" o:connecttype="rect"/>
            </v:shapetype>
            <v:shape id="Text Box 10" o:spid="_x0000_s1031" type="#_x0000_t202" alt="Official" style="position:absolute;margin-left:0;margin-top:0;width:37.5pt;height:29.65pt;z-index:2516674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AHFDgIAABwEAAAOAAAAZHJzL2Uyb0RvYy54bWysU8Fu2zAMvQ/YPwi6L3ayJe2MOEXWIsOA&#10;oC2QDj3LshQbkERBUmJnXz9KjpOt22nYRaZJ6pF8fFre9VqRo3C+BVPS6SSnRBgOdWv2Jf3+svlw&#10;S4kPzNRMgRElPQlP71bv3y07W4gZNKBq4QiCGF90tqRNCLbIMs8boZmfgBUGgxKcZgF/3T6rHesQ&#10;XatslueLrANXWwdceI/ehyFIVwlfSsHDk5ReBKJKir2FdLp0VvHMVktW7B2zTcvPbbB/6EKz1mDR&#10;C9QDC4wcXPsHlG65Aw8yTDjoDKRsuUgz4DTT/M00u4ZZkWZBcry90OT/Hyx/PO7ssyOh/wI9LjAS&#10;0llfeHTGeXrpdPxipwTjSOHpQpvoA+Ho/HSzmM0xwjH08WYxn88jSna9bJ0PXwVoEo2SOtxKIosd&#10;tz4MqWNKrGVg0yqVNqPMbw7EjJ7s2mG0Ql/1pK2xkbH7CuoTDuVg2Le3fNNi6S3z4Zk5XDB2i6IN&#10;T3hIBV1J4WxR0oD78Td/zEfeMUpJh4IpqUFFU6K+GdxH1NZouNGokjH9nM9zjJuDvgeU4RRfhOXJ&#10;RK8LajSlA/2Kcl7HQhhihmO5klajeR8G5eJz4GK9TkkoI8vC1uwsj9CRrsjlS//KnD0THnBTjzCq&#10;iRVveB9y401v14eA7KelRGoHIs+MowTTWs/PJWr81/+UdX3Uq58AAAD//wMAUEsDBBQABgAIAAAA&#10;IQDTfKs62QAAAAMBAAAPAAAAZHJzL2Rvd25yZXYueG1sTI9NT8MwDIbvSPyHyEjcWMqq8VGaTmgS&#10;pyGkbVy4eYnXFhqnatKt+/cYLnCx9Oq1Hj8ul5Pv1JGG2AY2cDvLQBHb4FquDbzvXm4eQMWE7LAL&#10;TAbOFGFZXV6UWLhw4g0dt6lWAuFYoIEmpb7QOtqGPMZZ6ImlO4TBY5I41NoNeBK47/Q8y+60x5bl&#10;QoM9rRqyX9vRG1hs0uv4xrv8Y5qfP9f9yuaHtTXm+mp6fgKVaEp/y/CjL+pQidM+jOyi6gzII+l3&#10;Sne/kLQX7mMOuir1f/fqGwAA//8DAFBLAQItABQABgAIAAAAIQC2gziS/gAAAOEBAAATAAAAAAAA&#10;AAAAAAAAAAAAAABbQ29udGVudF9UeXBlc10ueG1sUEsBAi0AFAAGAAgAAAAhADj9If/WAAAAlAEA&#10;AAsAAAAAAAAAAAAAAAAALwEAAF9yZWxzLy5yZWxzUEsBAi0AFAAGAAgAAAAhAA8IAcUOAgAAHAQA&#10;AA4AAAAAAAAAAAAAAAAALgIAAGRycy9lMm9Eb2MueG1sUEsBAi0AFAAGAAgAAAAhANN8qzrZAAAA&#10;AwEAAA8AAAAAAAAAAAAAAAAAaAQAAGRycy9kb3ducmV2LnhtbFBLBQYAAAAABAAEAPMAAABuBQAA&#10;AAA=&#10;" filled="f" stroked="f">
              <v:fill o:detectmouseclick="t"/>
              <v:textbox style="mso-fit-shape-to-text:t" inset="0,0,0,15pt">
                <w:txbxContent>
                  <w:p w14:paraId="3E622D57" w14:textId="57722B82"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F8DFA" w14:textId="77777777" w:rsidR="00CA2C9E" w:rsidRDefault="00CA2C9E" w:rsidP="00CA2C9E">
      <w:r>
        <w:separator/>
      </w:r>
    </w:p>
  </w:footnote>
  <w:footnote w:type="continuationSeparator" w:id="0">
    <w:p w14:paraId="505233BC" w14:textId="77777777" w:rsidR="00CA2C9E" w:rsidRDefault="00CA2C9E" w:rsidP="00CA2C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27EC4" w14:textId="2D9C6192" w:rsidR="00CA2C9E" w:rsidRDefault="00CA2C9E">
    <w:pPr>
      <w:pStyle w:val="Header"/>
    </w:pPr>
    <w:r>
      <w:rPr>
        <w:noProof/>
        <w14:ligatures w14:val="standardContextual"/>
      </w:rPr>
      <mc:AlternateContent>
        <mc:Choice Requires="wps">
          <w:drawing>
            <wp:anchor distT="0" distB="0" distL="0" distR="0" simplePos="0" relativeHeight="251665408" behindDoc="0" locked="0" layoutInCell="1" allowOverlap="1" wp14:anchorId="6357E299" wp14:editId="4BD41E86">
              <wp:simplePos x="635" y="635"/>
              <wp:positionH relativeFrom="page">
                <wp:align>center</wp:align>
              </wp:positionH>
              <wp:positionV relativeFrom="page">
                <wp:align>top</wp:align>
              </wp:positionV>
              <wp:extent cx="476250" cy="376555"/>
              <wp:effectExtent l="0" t="0" r="0" b="4445"/>
              <wp:wrapNone/>
              <wp:docPr id="324186353"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47A8D096" w14:textId="3256E169"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357E299" id="_x0000_t202" coordsize="21600,21600" o:spt="202" path="m,l,21600r21600,l21600,xe">
              <v:stroke joinstyle="miter"/>
              <v:path gradientshapeok="t" o:connecttype="rect"/>
            </v:shapetype>
            <v:shape id="Text Box 8" o:spid="_x0000_s1026" type="#_x0000_t202" alt="Official" style="position:absolute;margin-left:0;margin-top:0;width:37.5pt;height:29.65pt;z-index:25166540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8DgIAABwEAAAOAAAAZHJzL2Uyb0RvYy54bWysU8Fu2zAMvQ/YPwi6L3ayJe2MOEXWIsOA&#10;oC2QDj0rshQbkERBUmJnXz9KtpOt22nYRaZI+pF8fFredVqRk3C+AVPS6SSnRBgOVWMOJf3+svlw&#10;S4kPzFRMgRElPQtP71bv3y1bW4gZ1KAq4QiCGF+0tqR1CLbIMs9roZmfgBUGgxKcZgGv7pBVjrWI&#10;rlU2y/NF1oKrrAMuvEfvQx+kq4QvpeDhSUovAlElxd5COl069/HMVktWHByzdcOHNtg/dKFZY7Do&#10;BeqBBUaOrvkDSjfcgQcZJhx0BlI2XKQZcJpp/maaXc2sSLMgOd5eaPL/D5Y/nnb22ZHQfYEOFxgJ&#10;aa0vPDrjPJ10On6xU4JxpPB8oU10gXB0frpZzOYY4Rj6eLOYz+cRJbv+bJ0PXwVoEo2SOtxKIoud&#10;tj70qWNKrGVg0yiVNqPMbw7EjJ7s2mG0QrfvSFOVdDZ2v4fqjEM56PftLd80WHrLfHhmDheM3aJo&#10;wxMeUkFbUhgsSmpwP/7mj/nIO0YpaVEwJTWoaErUN4P7iNpKxvRzPs/x5kb3fjTMUd8DynCKL8Ly&#10;ZMa8oEZTOtCvKOd1LIQhZjiWK2kYzfvQKxefAxfrdUpCGVkWtmZneYSOdEUuX7pX5uxAeMBNPcKo&#10;Jla84b3PjX96uz4GZD8tJVLbEzkwjhJMax2eS9T4r/eUdX3Uq58AAAD//wMAUEsDBBQABgAIAAAA&#10;IQAwj3eF2QAAAAMBAAAPAAAAZHJzL2Rvd25yZXYueG1sTI/NTsMwEITvlXgHa5F6o06owk+IU1VI&#10;PfRWWuDsxksSiHej2G1Dn56FC72MNJrVzLfFYvSdOuIQWiYD6SwBhVSxa6k28Lpb3TyACtGSsx0T&#10;GvjGAIvyalLY3PGJXvC4jbWSEgq5NdDE2Odah6pBb8OMeyTJPnjwNoodau0Ge5Jy3+nbJLnT3rYk&#10;C43t8bnB6mt78AbabMkxxbf16vPdp5yeN+vsvDFmej0un0BFHOP/MfziCzqUwrTnA7mgOgPySPxT&#10;ye4zcXsD2eMcdFnoS/byBwAA//8DAFBLAQItABQABgAIAAAAIQC2gziS/gAAAOEBAAATAAAAAAAA&#10;AAAAAAAAAAAAAABbQ29udGVudF9UeXBlc10ueG1sUEsBAi0AFAAGAAgAAAAhADj9If/WAAAAlAEA&#10;AAsAAAAAAAAAAAAAAAAALwEAAF9yZWxzLy5yZWxzUEsBAi0AFAAGAAgAAAAhAP9M//wOAgAAHAQA&#10;AA4AAAAAAAAAAAAAAAAALgIAAGRycy9lMm9Eb2MueG1sUEsBAi0AFAAGAAgAAAAhADCPd4XZAAAA&#10;AwEAAA8AAAAAAAAAAAAAAAAAaAQAAGRycy9kb3ducmV2LnhtbFBLBQYAAAAABAAEAPMAAABuBQAA&#10;AAA=&#10;" filled="f" stroked="f">
              <v:fill o:detectmouseclick="t"/>
              <v:textbox style="mso-fit-shape-to-text:t" inset="0,15pt,0,0">
                <w:txbxContent>
                  <w:p w14:paraId="47A8D096" w14:textId="3256E169"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715" w14:textId="5DBE13C4" w:rsidR="00CA2C9E" w:rsidRDefault="00CA2C9E">
    <w:pPr>
      <w:pStyle w:val="Header"/>
    </w:pPr>
    <w:r>
      <w:rPr>
        <w:noProof/>
        <w14:ligatures w14:val="standardContextual"/>
      </w:rPr>
      <mc:AlternateContent>
        <mc:Choice Requires="wps">
          <w:drawing>
            <wp:anchor distT="0" distB="0" distL="0" distR="0" simplePos="0" relativeHeight="251666432" behindDoc="0" locked="0" layoutInCell="1" allowOverlap="1" wp14:anchorId="600923A3" wp14:editId="31C2C705">
              <wp:simplePos x="635" y="635"/>
              <wp:positionH relativeFrom="page">
                <wp:align>center</wp:align>
              </wp:positionH>
              <wp:positionV relativeFrom="page">
                <wp:align>top</wp:align>
              </wp:positionV>
              <wp:extent cx="476250" cy="376555"/>
              <wp:effectExtent l="0" t="0" r="0" b="4445"/>
              <wp:wrapNone/>
              <wp:docPr id="1631640377" name="Text Box 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460FAF43" w14:textId="62C37D8C"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00923A3" id="_x0000_t202" coordsize="21600,21600" o:spt="202" path="m,l,21600r21600,l21600,xe">
              <v:stroke joinstyle="miter"/>
              <v:path gradientshapeok="t" o:connecttype="rect"/>
            </v:shapetype>
            <v:shape id="Text Box 9" o:spid="_x0000_s1027" type="#_x0000_t202" alt="Official" style="position:absolute;margin-left:0;margin-top:0;width:37.5pt;height:29.65pt;z-index:25166643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jjgCQIAABUEAAAOAAAAZHJzL2Uyb0RvYy54bWysU8Fu2zAMvQ/YPwi6L3ayJe2MOEXWIsOA&#10;oC2QDj0rshQbkERBUmJnXz9KtpOt22nYRaZI+pF8fFredVqRk3C+AVPS6SSnRBgOVWMOJf3+svlw&#10;S4kPzFRMgRElPQtP71bv3y1bW4gZ1KAq4QiCGF+0tqR1CLbIMs9roZmfgBUGgxKcZgGv7pBVjrWI&#10;rlU2y/NF1oKrrAMuvEfvQx+kq4QvpeDhSUovAlElxd5COl069/HMVktWHByzdcOHNtg/dKFZY7Do&#10;BeqBBUaOrvkDSjfcgQcZJhx0BlI2XKQZcJpp/maaXc2sSLMgOd5eaPL/D5Y/nnb22ZHQfYEOFxgJ&#10;aa0vPDrjPJ10On6xU4JxpPB8oU10gXB0frpZzOYY4Rj6eLOYz+cRJbv+bJ0PXwVoEo2SOtxKIoud&#10;tj70qWNKrGVg0yiVNqPMbw7EjJ7s2mG0Qrfvhrb3UJ1xGgf9or3lmwZrbpkPz8zhZrFNVGt4wkMq&#10;aEsKg0VJDe7H3/wxHwnHKCUtKqWkBqVMifpmcBFRVMmYfs7nOd7c6N6Phjnqe0D9TfEpWJ7MmBfU&#10;aEoH+hV1vI6FMMQMx3IlDaN5H3rJ4jvgYr1OSagfy8LW7CyP0JGnSOJL98qcHZgOuKJHGGXEijeE&#10;97nxT2/Xx4C0p21ETnsiB6pRe2mfwzuJ4v71nrKur3n1EwAA//8DAFBLAwQUAAYACAAAACEAMI93&#10;hdkAAAADAQAADwAAAGRycy9kb3ducmV2LnhtbEyPzU7DMBCE75V4B2uReqNOqMJPiFNVSD30Vlrg&#10;7MZLEoh3o9htQ5+ehQu9jDSa1cy3xWL0nTriEFomA+ksAYVUsWupNvC6W908gArRkrMdExr4xgCL&#10;8mpS2NzxiV7wuI21khIKuTXQxNjnWoeqQW/DjHskyT548DaKHWrtBnuSct/p2yS50962JAuN7fG5&#10;wepre/AG2mzJMcW39erz3aecnjfr7LwxZno9Lp9ARRzj/zH84gs6lMK05wO5oDoD8kj8U8nuM3F7&#10;A9njHHRZ6Ev28gcAAP//AwBQSwECLQAUAAYACAAAACEAtoM4kv4AAADhAQAAEwAAAAAAAAAAAAAA&#10;AAAAAAAAW0NvbnRlbnRfVHlwZXNdLnhtbFBLAQItABQABgAIAAAAIQA4/SH/1gAAAJQBAAALAAAA&#10;AAAAAAAAAAAAAC8BAABfcmVscy8ucmVsc1BLAQItABQABgAIAAAAIQDSfjjgCQIAABUEAAAOAAAA&#10;AAAAAAAAAAAAAC4CAABkcnMvZTJvRG9jLnhtbFBLAQItABQABgAIAAAAIQAwj3eF2QAAAAMBAAAP&#10;AAAAAAAAAAAAAAAAAGMEAABkcnMvZG93bnJldi54bWxQSwUGAAAAAAQABADzAAAAaQUAAAAA&#10;" filled="f" stroked="f">
              <v:fill o:detectmouseclick="t"/>
              <v:textbox style="mso-fit-shape-to-text:t" inset="0,15pt,0,0">
                <w:txbxContent>
                  <w:p w14:paraId="460FAF43" w14:textId="62C37D8C"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F1F03" w14:textId="25FE0C7F" w:rsidR="00CA2C9E" w:rsidRDefault="00CA2C9E">
    <w:pPr>
      <w:pStyle w:val="Header"/>
    </w:pPr>
    <w:r>
      <w:rPr>
        <w:noProof/>
        <w14:ligatures w14:val="standardContextual"/>
      </w:rPr>
      <mc:AlternateContent>
        <mc:Choice Requires="wps">
          <w:drawing>
            <wp:anchor distT="0" distB="0" distL="0" distR="0" simplePos="0" relativeHeight="251664384" behindDoc="0" locked="0" layoutInCell="1" allowOverlap="1" wp14:anchorId="1E321CEF" wp14:editId="4B0DCA17">
              <wp:simplePos x="635" y="635"/>
              <wp:positionH relativeFrom="page">
                <wp:align>center</wp:align>
              </wp:positionH>
              <wp:positionV relativeFrom="page">
                <wp:align>top</wp:align>
              </wp:positionV>
              <wp:extent cx="476250" cy="376555"/>
              <wp:effectExtent l="0" t="0" r="0" b="4445"/>
              <wp:wrapNone/>
              <wp:docPr id="1521793647"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76555"/>
                      </a:xfrm>
                      <a:prstGeom prst="rect">
                        <a:avLst/>
                      </a:prstGeom>
                      <a:noFill/>
                      <a:ln>
                        <a:noFill/>
                      </a:ln>
                    </wps:spPr>
                    <wps:txbx>
                      <w:txbxContent>
                        <w:p w14:paraId="4B425E61" w14:textId="4C2B9810"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E321CEF" id="_x0000_t202" coordsize="21600,21600" o:spt="202" path="m,l,21600r21600,l21600,xe">
              <v:stroke joinstyle="miter"/>
              <v:path gradientshapeok="t" o:connecttype="rect"/>
            </v:shapetype>
            <v:shape id="Text Box 7" o:spid="_x0000_s1030" type="#_x0000_t202" alt="Official" style="position:absolute;margin-left:0;margin-top:0;width:37.5pt;height:29.65pt;z-index:25166438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Si6DAIAABwEAAAOAAAAZHJzL2Uyb0RvYy54bWysU8Fu2zAMvQ/YPwi6L3ayOd2MOEXWIsOA&#10;oC2QDj0rshQbkERBUmJnXz9KjpOu22nYRaZI+pF8fFrc9lqRo3C+BVPR6SSnRBgOdWv2Ff3xvP7w&#10;mRIfmKmZAiMqehKe3i7fv1t0thQzaEDVwhEEMb7sbEWbEGyZZZ43QjM/ASsMBiU4zQJe3T6rHesQ&#10;XatslufzrANXWwdceI/e+yFIlwlfSsHDo5ReBKIqir2FdLp07uKZLRes3Dtmm5af22D/0IVmrcGi&#10;F6h7Fhg5uPYPKN1yBx5kmHDQGUjZcpFmwGmm+Ztptg2zIs2C5Hh7ocn/P1j+cNzaJ0dC/xV6XGAk&#10;pLO+9OiM8/TS6fjFTgnGkcLThTbRB8LR+elmPiswwjH08WZeFEVEya4/W+fDNwGaRKOiDreSyGLH&#10;jQ9D6pgSaxlYt0qlzSjzmwMxoye7dhit0O960tavut9BfcKhHAz79pavWyy9YT48MYcLxm5RtOER&#10;D6mgqyicLUoacD//5o/5yDtGKelQMBU1qGhK1HeD+4jaSsb0S17keHOjezca5qDvAGU4xRdheTJj&#10;XlCjKR3oF5TzKhbCEDMcy1U0jOZdGJSLz4GL1SoloYwsCxuztTxCR7oil8/9C3P2THjATT3AqCZW&#10;vuF9yI1/ers6BGQ/LSVSOxB5ZhwlmNZ6fi5R46/vKev6qJe/AAAA//8DAFBLAwQUAAYACAAAACEA&#10;MI93hdkAAAADAQAADwAAAGRycy9kb3ducmV2LnhtbEyPzU7DMBCE75V4B2uReqNOqMJPiFNVSD30&#10;Vlrg7MZLEoh3o9htQ5+ehQu9jDSa1cy3xWL0nTriEFomA+ksAYVUsWupNvC6W908gArRkrMdExr4&#10;xgCL8mpS2NzxiV7wuI21khIKuTXQxNjnWoeqQW/DjHskyT548DaKHWrtBnuSct/p2yS50962JAuN&#10;7fG5wepre/AG2mzJMcW39erz3aecnjfr7LwxZno9Lp9ARRzj/zH84gs6lMK05wO5oDoD8kj8U8nu&#10;M3F7A9njHHRZ6Ev28gcAAP//AwBQSwECLQAUAAYACAAAACEAtoM4kv4AAADhAQAAEwAAAAAAAAAA&#10;AAAAAAAAAAAAW0NvbnRlbnRfVHlwZXNdLnhtbFBLAQItABQABgAIAAAAIQA4/SH/1gAAAJQBAAAL&#10;AAAAAAAAAAAAAAAAAC8BAABfcmVscy8ucmVsc1BLAQItABQABgAIAAAAIQBIjSi6DAIAABwEAAAO&#10;AAAAAAAAAAAAAAAAAC4CAABkcnMvZTJvRG9jLnhtbFBLAQItABQABgAIAAAAIQAwj3eF2QAAAAMB&#10;AAAPAAAAAAAAAAAAAAAAAGYEAABkcnMvZG93bnJldi54bWxQSwUGAAAAAAQABADzAAAAbAUAAAAA&#10;" filled="f" stroked="f">
              <v:fill o:detectmouseclick="t"/>
              <v:textbox style="mso-fit-shape-to-text:t" inset="0,15pt,0,0">
                <w:txbxContent>
                  <w:p w14:paraId="4B425E61" w14:textId="4C2B9810" w:rsidR="00CA2C9E" w:rsidRPr="00CA2C9E" w:rsidRDefault="00CA2C9E" w:rsidP="00CA2C9E">
                    <w:pPr>
                      <w:rPr>
                        <w:rFonts w:ascii="Aptos" w:eastAsia="Aptos" w:hAnsi="Aptos" w:cs="Aptos"/>
                        <w:noProof/>
                        <w:color w:val="000000"/>
                      </w:rPr>
                    </w:pPr>
                    <w:r w:rsidRPr="00CA2C9E">
                      <w:rPr>
                        <w:rFonts w:ascii="Aptos" w:eastAsia="Aptos" w:hAnsi="Aptos" w:cs="Aptos"/>
                        <w:noProof/>
                        <w:color w:val="00000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B446ED"/>
    <w:multiLevelType w:val="hybridMultilevel"/>
    <w:tmpl w:val="F5A8F91A"/>
    <w:lvl w:ilvl="0" w:tplc="BD54B5C0">
      <w:start w:val="1"/>
      <w:numFmt w:val="decimal"/>
      <w:lvlText w:val="%1."/>
      <w:lvlJc w:val="left"/>
      <w:pPr>
        <w:ind w:left="720" w:hanging="360"/>
      </w:pPr>
      <w:rPr>
        <w:rFonts w:hint="default"/>
      </w:rPr>
    </w:lvl>
    <w:lvl w:ilvl="1" w:tplc="319C96D8" w:tentative="1">
      <w:start w:val="1"/>
      <w:numFmt w:val="lowerLetter"/>
      <w:lvlText w:val="%2."/>
      <w:lvlJc w:val="left"/>
      <w:pPr>
        <w:ind w:left="1440" w:hanging="360"/>
      </w:pPr>
    </w:lvl>
    <w:lvl w:ilvl="2" w:tplc="5C84C968" w:tentative="1">
      <w:start w:val="1"/>
      <w:numFmt w:val="lowerRoman"/>
      <w:lvlText w:val="%3."/>
      <w:lvlJc w:val="right"/>
      <w:pPr>
        <w:ind w:left="2160" w:hanging="180"/>
      </w:pPr>
    </w:lvl>
    <w:lvl w:ilvl="3" w:tplc="2ACE8C08" w:tentative="1">
      <w:start w:val="1"/>
      <w:numFmt w:val="decimal"/>
      <w:lvlText w:val="%4."/>
      <w:lvlJc w:val="left"/>
      <w:pPr>
        <w:ind w:left="2880" w:hanging="360"/>
      </w:pPr>
    </w:lvl>
    <w:lvl w:ilvl="4" w:tplc="A202BF24" w:tentative="1">
      <w:start w:val="1"/>
      <w:numFmt w:val="lowerLetter"/>
      <w:lvlText w:val="%5."/>
      <w:lvlJc w:val="left"/>
      <w:pPr>
        <w:ind w:left="3600" w:hanging="360"/>
      </w:pPr>
    </w:lvl>
    <w:lvl w:ilvl="5" w:tplc="437415F0" w:tentative="1">
      <w:start w:val="1"/>
      <w:numFmt w:val="lowerRoman"/>
      <w:lvlText w:val="%6."/>
      <w:lvlJc w:val="right"/>
      <w:pPr>
        <w:ind w:left="4320" w:hanging="180"/>
      </w:pPr>
    </w:lvl>
    <w:lvl w:ilvl="6" w:tplc="0EE0FE78" w:tentative="1">
      <w:start w:val="1"/>
      <w:numFmt w:val="decimal"/>
      <w:lvlText w:val="%7."/>
      <w:lvlJc w:val="left"/>
      <w:pPr>
        <w:ind w:left="5040" w:hanging="360"/>
      </w:pPr>
    </w:lvl>
    <w:lvl w:ilvl="7" w:tplc="DCC04E5E" w:tentative="1">
      <w:start w:val="1"/>
      <w:numFmt w:val="lowerLetter"/>
      <w:lvlText w:val="%8."/>
      <w:lvlJc w:val="left"/>
      <w:pPr>
        <w:ind w:left="5760" w:hanging="360"/>
      </w:pPr>
    </w:lvl>
    <w:lvl w:ilvl="8" w:tplc="CD04C666" w:tentative="1">
      <w:start w:val="1"/>
      <w:numFmt w:val="lowerRoman"/>
      <w:lvlText w:val="%9."/>
      <w:lvlJc w:val="right"/>
      <w:pPr>
        <w:ind w:left="6480" w:hanging="180"/>
      </w:pPr>
    </w:lvl>
  </w:abstractNum>
  <w:num w:numId="1" w16cid:durableId="1366176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C9E"/>
    <w:rsid w:val="000C29A0"/>
    <w:rsid w:val="00654D19"/>
    <w:rsid w:val="00CA2C9E"/>
    <w:rsid w:val="00D6577C"/>
    <w:rsid w:val="00DC55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83174"/>
  <w15:chartTrackingRefBased/>
  <w15:docId w15:val="{673DF9BB-79ED-41BD-AB7A-3EEE640D9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C9E"/>
    <w:pPr>
      <w:overflowPunct w:val="0"/>
      <w:autoSpaceDN w:val="0"/>
      <w:spacing w:after="0" w:line="240" w:lineRule="auto"/>
      <w:textAlignment w:val="baseline"/>
    </w:pPr>
    <w:rPr>
      <w:rFonts w:ascii="CG Times" w:eastAsia="Times New Roman" w:hAnsi="CG Times" w:cs="Times New Roman"/>
      <w:kern w:val="3"/>
      <w:sz w:val="24"/>
      <w:szCs w:val="24"/>
      <w:lang w:eastAsia="en-GB"/>
      <w14:ligatures w14:val="none"/>
    </w:rPr>
  </w:style>
  <w:style w:type="paragraph" w:styleId="Heading1">
    <w:name w:val="heading 1"/>
    <w:basedOn w:val="Normal"/>
    <w:next w:val="Normal"/>
    <w:link w:val="Heading1Char"/>
    <w:uiPriority w:val="9"/>
    <w:qFormat/>
    <w:rsid w:val="00CA2C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2C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2C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2C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2C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2C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C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C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C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C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C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C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C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C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C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C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C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C9E"/>
    <w:rPr>
      <w:rFonts w:eastAsiaTheme="majorEastAsia" w:cstheme="majorBidi"/>
      <w:color w:val="272727" w:themeColor="text1" w:themeTint="D8"/>
    </w:rPr>
  </w:style>
  <w:style w:type="paragraph" w:styleId="Title">
    <w:name w:val="Title"/>
    <w:basedOn w:val="Normal"/>
    <w:next w:val="Normal"/>
    <w:link w:val="TitleChar"/>
    <w:uiPriority w:val="10"/>
    <w:qFormat/>
    <w:rsid w:val="00CA2C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C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C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C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C9E"/>
    <w:pPr>
      <w:spacing w:before="160"/>
      <w:jc w:val="center"/>
    </w:pPr>
    <w:rPr>
      <w:i/>
      <w:iCs/>
      <w:color w:val="404040" w:themeColor="text1" w:themeTint="BF"/>
    </w:rPr>
  </w:style>
  <w:style w:type="character" w:customStyle="1" w:styleId="QuoteChar">
    <w:name w:val="Quote Char"/>
    <w:basedOn w:val="DefaultParagraphFont"/>
    <w:link w:val="Quote"/>
    <w:uiPriority w:val="29"/>
    <w:rsid w:val="00CA2C9E"/>
    <w:rPr>
      <w:i/>
      <w:iCs/>
      <w:color w:val="404040" w:themeColor="text1" w:themeTint="BF"/>
    </w:rPr>
  </w:style>
  <w:style w:type="paragraph" w:styleId="ListParagraph">
    <w:name w:val="List Paragraph"/>
    <w:basedOn w:val="Normal"/>
    <w:uiPriority w:val="34"/>
    <w:qFormat/>
    <w:rsid w:val="00CA2C9E"/>
    <w:pPr>
      <w:ind w:left="720"/>
      <w:contextualSpacing/>
    </w:pPr>
  </w:style>
  <w:style w:type="character" w:styleId="IntenseEmphasis">
    <w:name w:val="Intense Emphasis"/>
    <w:basedOn w:val="DefaultParagraphFont"/>
    <w:uiPriority w:val="21"/>
    <w:qFormat/>
    <w:rsid w:val="00CA2C9E"/>
    <w:rPr>
      <w:i/>
      <w:iCs/>
      <w:color w:val="0F4761" w:themeColor="accent1" w:themeShade="BF"/>
    </w:rPr>
  </w:style>
  <w:style w:type="paragraph" w:styleId="IntenseQuote">
    <w:name w:val="Intense Quote"/>
    <w:basedOn w:val="Normal"/>
    <w:next w:val="Normal"/>
    <w:link w:val="IntenseQuoteChar"/>
    <w:uiPriority w:val="30"/>
    <w:qFormat/>
    <w:rsid w:val="00CA2C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2C9E"/>
    <w:rPr>
      <w:i/>
      <w:iCs/>
      <w:color w:val="0F4761" w:themeColor="accent1" w:themeShade="BF"/>
    </w:rPr>
  </w:style>
  <w:style w:type="character" w:styleId="IntenseReference">
    <w:name w:val="Intense Reference"/>
    <w:basedOn w:val="DefaultParagraphFont"/>
    <w:uiPriority w:val="32"/>
    <w:qFormat/>
    <w:rsid w:val="00CA2C9E"/>
    <w:rPr>
      <w:b/>
      <w:bCs/>
      <w:smallCaps/>
      <w:color w:val="0F4761" w:themeColor="accent1" w:themeShade="BF"/>
      <w:spacing w:val="5"/>
    </w:rPr>
  </w:style>
  <w:style w:type="character" w:styleId="Hyperlink">
    <w:name w:val="Hyperlink"/>
    <w:basedOn w:val="DefaultParagraphFont"/>
    <w:uiPriority w:val="99"/>
    <w:unhideWhenUsed/>
    <w:rsid w:val="00CA2C9E"/>
    <w:rPr>
      <w:color w:val="467886" w:themeColor="hyperlink"/>
      <w:u w:val="single"/>
    </w:rPr>
  </w:style>
  <w:style w:type="paragraph" w:styleId="Header">
    <w:name w:val="header"/>
    <w:basedOn w:val="Normal"/>
    <w:link w:val="HeaderChar"/>
    <w:uiPriority w:val="99"/>
    <w:unhideWhenUsed/>
    <w:rsid w:val="00CA2C9E"/>
    <w:pPr>
      <w:tabs>
        <w:tab w:val="center" w:pos="4513"/>
        <w:tab w:val="right" w:pos="9026"/>
      </w:tabs>
    </w:pPr>
  </w:style>
  <w:style w:type="character" w:customStyle="1" w:styleId="HeaderChar">
    <w:name w:val="Header Char"/>
    <w:basedOn w:val="DefaultParagraphFont"/>
    <w:link w:val="Header"/>
    <w:uiPriority w:val="99"/>
    <w:rsid w:val="00CA2C9E"/>
    <w:rPr>
      <w:rFonts w:ascii="CG Times" w:eastAsia="Times New Roman" w:hAnsi="CG Times" w:cs="Times New Roman"/>
      <w:kern w:val="3"/>
      <w:sz w:val="24"/>
      <w:szCs w:val="24"/>
      <w:lang w:eastAsia="en-GB"/>
      <w14:ligatures w14:val="none"/>
    </w:rPr>
  </w:style>
  <w:style w:type="paragraph" w:styleId="Footer">
    <w:name w:val="footer"/>
    <w:basedOn w:val="Normal"/>
    <w:link w:val="FooterChar"/>
    <w:uiPriority w:val="99"/>
    <w:unhideWhenUsed/>
    <w:rsid w:val="00CA2C9E"/>
    <w:pPr>
      <w:tabs>
        <w:tab w:val="center" w:pos="4513"/>
        <w:tab w:val="right" w:pos="9026"/>
      </w:tabs>
    </w:pPr>
  </w:style>
  <w:style w:type="character" w:customStyle="1" w:styleId="FooterChar">
    <w:name w:val="Footer Char"/>
    <w:basedOn w:val="DefaultParagraphFont"/>
    <w:link w:val="Footer"/>
    <w:uiPriority w:val="99"/>
    <w:rsid w:val="00CA2C9E"/>
    <w:rPr>
      <w:rFonts w:ascii="CG Times" w:eastAsia="Times New Roman" w:hAnsi="CG Times" w:cs="Times New Roman"/>
      <w:kern w:val="3"/>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xplore.dwp.gov.uk/webapi/openinfopage?id=UC_Household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tat-xplore.dwp.gov.u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gov.uk/government/publications/universal-credit-statistics-background-information-and-methodology/universal-credit-statistics-background-information-and-methodology" TargetMode="External"/><Relationship Id="rId4" Type="http://schemas.openxmlformats.org/officeDocument/2006/relationships/webSettings" Target="webSettings.xml"/><Relationship Id="rId9" Type="http://schemas.openxmlformats.org/officeDocument/2006/relationships/hyperlink" Target="https://stat-xplore.dwp.gov.u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f0d0528-6c7f-46d4-8e8a-b1e66ed9d67e}" enabled="1" method="Privileged" siteId="{96f1f6e9-1057-4117-ac28-80cdfe86f8c3}" contentBits="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2977</Characters>
  <Application>Microsoft Office Word</Application>
  <DocSecurity>0</DocSecurity>
  <Lines>24</Lines>
  <Paragraphs>6</Paragraphs>
  <ScaleCrop>false</ScaleCrop>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Mallett Alex DWP DEPUTY PARLIAMENTARY CLERK</dc:creator>
  <cp:keywords/>
  <dc:description/>
  <cp:lastModifiedBy>Mallett Alex DWP DEPUTY PARLIAMENTARY CLERK</cp:lastModifiedBy>
  <cp:revision>1</cp:revision>
  <cp:lastPrinted>2026-02-05T15:40:00Z</cp:lastPrinted>
  <dcterms:created xsi:type="dcterms:W3CDTF">2026-02-05T15:39:00Z</dcterms:created>
  <dcterms:modified xsi:type="dcterms:W3CDTF">2026-02-05T15:41:00Z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5ab4ba6f,1352b0f1,6140db39</vt:lpwstr>
  </property>
  <property fmtid="{D5CDD505-2E9C-101B-9397-08002B2CF9AE}" pid="3" name="ClassificationContentMarkingHeaderFontProps">
    <vt:lpwstr>#000000,12,Aptos</vt:lpwstr>
  </property>
  <property fmtid="{D5CDD505-2E9C-101B-9397-08002B2CF9AE}" pid="4" name="ClassificationContentMarkingHeaderText">
    <vt:lpwstr>Official</vt:lpwstr>
  </property>
  <property fmtid="{D5CDD505-2E9C-101B-9397-08002B2CF9AE}" pid="5" name="ClassificationContentMarkingFooterShapeIds">
    <vt:lpwstr>3ea87eae,1308df50,79688650</vt:lpwstr>
  </property>
  <property fmtid="{D5CDD505-2E9C-101B-9397-08002B2CF9AE}" pid="6" name="ClassificationContentMarkingFooterFontProps">
    <vt:lpwstr>#000000,12,Aptos</vt:lpwstr>
  </property>
  <property fmtid="{D5CDD505-2E9C-101B-9397-08002B2CF9AE}" pid="7" name="ClassificationContentMarkingFooterText">
    <vt:lpwstr>Official</vt:lpwstr>
  </property>
</Properties>
</file>